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выполнение работ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spacing w:before="120" w:after="120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t xml:space="preserve"> </w:t>
      </w:r>
      <w:r>
        <w:rPr>
          <w:rFonts w:eastAsia="Calibri"/>
          <w:b/>
          <w:i/>
          <w:sz w:val="24"/>
          <w:szCs w:val="24"/>
        </w:rPr>
        <w:t xml:space="preserve">ОКПД 43.39.19.190 Выполнение ремонтных работ помещений Исполнительного аппарата расположенных по адресу: г. Хабаровск, ул. Фрунзе, 49.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11002006</w:t>
      </w:r>
      <w:r>
        <w:rPr>
          <w:rFonts w:eastAsia="Calibri"/>
          <w:b/>
          <w:sz w:val="24"/>
          <w:szCs w:val="24"/>
        </w:rPr>
        <w:t xml:space="preserve">-РЕМ ПРОД-2025-ДГК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127778176" w:anchor="_Toc127778176" w:history="1">
        <w:r>
          <w:rPr>
            <w:rStyle w:val="965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_Toc127778176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77" w:anchor="_Toc127778177" w:history="1">
        <w:r>
          <w:rPr>
            <w:rStyle w:val="965"/>
            <w:iCs/>
            <w:sz w:val="24"/>
            <w:szCs w:val="24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Обозначения и сокращения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_Toc127778177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78" w:anchor="_Toc127778178" w:history="1">
        <w:r>
          <w:rPr>
            <w:rStyle w:val="965"/>
            <w:iCs/>
            <w:sz w:val="24"/>
            <w:szCs w:val="24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Наименование закупаемой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_Toc127778178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79" w:anchor="_Toc127778179" w:history="1">
        <w:r>
          <w:rPr>
            <w:rStyle w:val="965"/>
            <w:iCs/>
            <w:sz w:val="24"/>
            <w:szCs w:val="24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Цель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_Toc127778179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0" w:anchor="_Toc127778180" w:history="1">
        <w:r>
          <w:rPr>
            <w:rStyle w:val="965"/>
          </w:rPr>
          <w:t xml:space="preserve">Таблица 1. Перечень объектов заказчика</w:t>
        </w:r>
        <w:r>
          <w:tab/>
        </w:r>
        <w:r>
          <w:fldChar w:fldCharType="begin"/>
        </w:r>
        <w:r>
          <w:instrText xml:space="preserve"> PAGEREF _Toc127778180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1" w:anchor="_Toc127778181" w:history="1">
        <w:r>
          <w:rPr>
            <w:rStyle w:val="965"/>
            <w:iCs/>
            <w:sz w:val="24"/>
            <w:szCs w:val="24"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_Toc127778181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2" w:anchor="_Toc127778182" w:history="1">
        <w:r>
          <w:rPr>
            <w:rStyle w:val="965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_Toc127778182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3" w:anchor="_Toc127778183" w:history="1">
        <w:r>
          <w:rPr>
            <w:rStyle w:val="965"/>
            <w:iCs/>
            <w:sz w:val="24"/>
            <w:szCs w:val="24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объемам и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_Toc127778183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4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4" w:anchor="_Toc127778184" w:history="1">
        <w:r>
          <w:rPr>
            <w:rStyle w:val="965"/>
            <w:sz w:val="24"/>
            <w:szCs w:val="24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видам и объемам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_Toc127778184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5" w:anchor="_Toc127778185" w:history="1">
        <w:r>
          <w:rPr>
            <w:rStyle w:val="965"/>
          </w:rPr>
          <w:t xml:space="preserve">Таблица 2. Перечень и объем выполняемых работ</w:t>
        </w:r>
        <w:r>
          <w:tab/>
        </w:r>
        <w:r>
          <w:fldChar w:fldCharType="begin"/>
        </w:r>
        <w:r>
          <w:instrText xml:space="preserve"> PAGEREF _Toc127778185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4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6" w:anchor="_Toc127778186" w:history="1">
        <w:r>
          <w:rPr>
            <w:rStyle w:val="965"/>
            <w:sz w:val="24"/>
            <w:szCs w:val="24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_Toc127778186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7" w:anchor="_Toc127778187" w:history="1">
        <w:r>
          <w:rPr>
            <w:rStyle w:val="965"/>
          </w:rPr>
          <w:t xml:space="preserve">Таблица 3. Требования по срокам выполнения работ</w:t>
        </w:r>
        <w:r>
          <w:tab/>
        </w:r>
        <w:r>
          <w:fldChar w:fldCharType="begin"/>
        </w:r>
        <w:r>
          <w:instrText xml:space="preserve"> PAGEREF _Toc127778187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88" w:anchor="_Toc127778188" w:history="1">
        <w:r>
          <w:rPr>
            <w:rStyle w:val="965"/>
            <w:iCs/>
            <w:sz w:val="24"/>
            <w:szCs w:val="24"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качеству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_Toc127778188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89" w:anchor="_Toc127778189" w:history="1">
        <w:r>
          <w:rPr>
            <w:rStyle w:val="965"/>
          </w:rPr>
          <w:t xml:space="preserve">Таблица 4. Требования к качеству работ</w:t>
        </w:r>
        <w:r>
          <w:tab/>
        </w:r>
        <w:r>
          <w:fldChar w:fldCharType="begin"/>
        </w:r>
        <w:r>
          <w:instrText xml:space="preserve"> PAGEREF _Toc127778189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90" w:anchor="_Toc127778190" w:history="1">
        <w:r>
          <w:rPr>
            <w:rStyle w:val="965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_Toc127778190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91" w:anchor="_Toc127778191" w:history="1">
        <w:r>
          <w:rPr>
            <w:rStyle w:val="965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_Toc127778191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76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92" w:anchor="_Toc127778192" w:history="1">
        <w:r>
          <w:rPr>
            <w:rStyle w:val="965"/>
            <w:iCs/>
            <w:sz w:val="24"/>
            <w:szCs w:val="24"/>
          </w:rPr>
          <w:t xml:space="preserve">4.1.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составлению сметной документации (при заключении договора):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_Toc127778192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6"/>
        <w:jc w:val="left"/>
        <w:tabs>
          <w:tab w:val="left" w:pos="709" w:leader="none"/>
          <w:tab w:val="left" w:pos="850" w:leader="none"/>
          <w:tab w:val="left" w:pos="992" w:leader="none"/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127778193" w:anchor="_Toc127778193" w:history="1">
        <w:r>
          <w:rPr>
            <w:rStyle w:val="965"/>
            <w:iCs/>
            <w:sz w:val="24"/>
            <w:szCs w:val="24"/>
          </w:rPr>
          <w:t xml:space="preserve">4.2.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65"/>
            <w:sz w:val="24"/>
            <w:szCs w:val="24"/>
          </w:rPr>
          <w:t xml:space="preserve">Требования к составлению сметной документации (на этапе исполнения договора):</w:t>
        </w:r>
        <w:r>
          <w:rPr>
            <w:sz w:val="24"/>
            <w:szCs w:val="24"/>
          </w:rPr>
          <w:t xml:space="preserve"> </w:t>
          <w:fldChar w:fldCharType="begin"/>
        </w:r>
        <w:r>
          <w:rPr>
            <w:sz w:val="24"/>
            <w:szCs w:val="24"/>
          </w:rPr>
          <w:instrText xml:space="preserve"> PAGEREF _Toc127778193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 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6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27778194" w:anchor="_Toc127778194" w:history="1">
        <w:r>
          <w:rPr>
            <w:rStyle w:val="965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65"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_Toc127778194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785"/>
        <w:numPr>
          <w:ilvl w:val="0"/>
          <w:numId w:val="0"/>
        </w:numPr>
      </w:pPr>
      <w:r>
        <w:fldChar w:fldCharType="end"/>
      </w:r>
      <w:r/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84"/>
        <w:ind w:left="426" w:hanging="426"/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/>
      <w:bookmarkStart w:id="0" w:name="_Toc51339692"/>
      <w:r/>
      <w:bookmarkStart w:id="1" w:name="_Toc127778176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</w:pPr>
      <w:r/>
      <w:bookmarkStart w:id="2" w:name="_Toc46743505"/>
      <w:r/>
      <w:bookmarkStart w:id="3" w:name="_Toc127778177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2"/>
        <w:tblW w:w="0" w:type="auto"/>
        <w:tblInd w:w="107" w:type="dxa"/>
        <w:tblLook w:val="04A0" w:firstRow="1" w:lastRow="0" w:firstColumn="1" w:lastColumn="0" w:noHBand="0" w:noVBand="1"/>
      </w:tblPr>
      <w:tblGrid>
        <w:gridCol w:w="1731"/>
        <w:gridCol w:w="8073"/>
      </w:tblGrid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НДТ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Нормативно-техническая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Свод правил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Методические документы в строительстве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ВСН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Ведомственные строительные нормы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СТО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Стандарт организации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Рабочая документация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31" w:type="dxa"/>
            <w:textDirection w:val="lrTb"/>
            <w:noWrap w:val="false"/>
          </w:tcPr>
          <w:p>
            <w:pPr>
              <w:spacing w:before="60" w:after="60"/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СНиП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8073" w:type="dxa"/>
            <w:textDirection w:val="lrTb"/>
            <w:noWrap w:val="false"/>
          </w:tcPr>
          <w:p>
            <w:pP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:lang w:val="en-US"/>
              </w:rPr>
            </w:pP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Строительные нормы и правила</w:t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:lang w:val="en-US"/>
              </w:rPr>
            </w:r>
            <w:r>
              <w:rPr>
                <w:rStyle w:val="102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  <w:lang w:val="en-US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</w:pPr>
      <w:r/>
      <w:bookmarkStart w:id="4" w:name="_Toc46743506"/>
      <w:r/>
      <w:bookmarkStart w:id="5" w:name="_Toc127778178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</w:t>
      </w:r>
      <w:r>
        <w:rPr>
          <w:rFonts w:eastAsia="Calibri"/>
          <w:sz w:val="24"/>
          <w:szCs w:val="24"/>
        </w:rPr>
        <w:t xml:space="preserve">ОКПД 43.39.19.190 Выполнение ремонтных работ помещений Исполнительного аппарата расположенных по адресу: г. Хабаровск, ул. Фрунзе, 49.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87"/>
      </w:pPr>
      <w:r/>
      <w:bookmarkStart w:id="6" w:name="_Toc127778179"/>
      <w:r>
        <w:t xml:space="preserve">Цель выполнения работ</w:t>
      </w:r>
      <w:bookmarkEnd w:id="6"/>
      <w:r/>
      <w:r/>
    </w:p>
    <w:p>
      <w:pPr>
        <w:rPr>
          <w:rFonts w:eastAsia="Calibri"/>
          <w:sz w:val="24"/>
          <w:szCs w:val="24"/>
        </w:rPr>
      </w:pPr>
      <w:r/>
      <w:bookmarkStart w:id="7" w:name="_Toc46743508"/>
      <w:r/>
      <w:bookmarkStart w:id="8" w:name="_Toc54646399"/>
      <w:r>
        <w:rPr>
          <w:rFonts w:eastAsia="Calibri"/>
          <w:sz w:val="24"/>
          <w:szCs w:val="24"/>
        </w:rPr>
        <w:t xml:space="preserve">       Целью работы является приведение в нормативно-техническое состояние помещений в здании</w:t>
      </w:r>
      <w:r>
        <w:rPr>
          <w:rFonts w:eastAsia="Calibri"/>
          <w:sz w:val="24"/>
          <w:szCs w:val="24"/>
        </w:rPr>
        <w:t xml:space="preserve"> для </w:t>
      </w:r>
      <w:r>
        <w:rPr>
          <w:rFonts w:eastAsia="Calibri"/>
          <w:sz w:val="24"/>
          <w:szCs w:val="24"/>
        </w:rPr>
        <w:t xml:space="preserve">повышения эксплуатационной надёжности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84"/>
        <w:numPr>
          <w:ilvl w:val="0"/>
          <w:numId w:val="0"/>
        </w:numPr>
        <w:rPr>
          <w:rStyle w:val="1026"/>
          <w:b/>
          <w:i w:val="0"/>
          <w:sz w:val="24"/>
          <w:szCs w:val="24"/>
          <w:shd w:val="clear" w:color="auto" w:fill="auto"/>
        </w:rPr>
      </w:pPr>
      <w:r/>
      <w:bookmarkStart w:id="9" w:name="_Toc127778180"/>
      <w:r/>
      <w:bookmarkEnd w:id="7"/>
      <w:r/>
      <w:bookmarkEnd w:id="8"/>
      <w:r>
        <w:rPr>
          <w:sz w:val="24"/>
          <w:szCs w:val="24"/>
        </w:rPr>
        <w:t xml:space="preserve">Таблица 1. Перечень объектов заказчика</w:t>
      </w:r>
      <w:bookmarkEnd w:id="9"/>
      <w:r>
        <w:rPr>
          <w:rStyle w:val="1026"/>
          <w:b/>
          <w:i w:val="0"/>
          <w:sz w:val="24"/>
          <w:szCs w:val="24"/>
          <w:shd w:val="clear" w:color="auto" w:fill="auto"/>
        </w:rPr>
      </w:r>
      <w:r>
        <w:rPr>
          <w:rStyle w:val="1026"/>
          <w:b/>
          <w:i w:val="0"/>
          <w:sz w:val="24"/>
          <w:szCs w:val="24"/>
          <w:shd w:val="clear" w:color="auto" w:fill="auto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2693"/>
        <w:gridCol w:w="2694"/>
        <w:gridCol w:w="1559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474"/>
        </w:trPr>
        <w:tc>
          <w:tcPr>
            <w:tcW w:w="562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8"/>
              </w:numPr>
            </w:pPr>
            <w:r/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Помещения в здании Исполнительного аппарата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680000, Хабаровский край, г.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Хабаровск, ул.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Фрунзе, 49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694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Административное здание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787"/>
        <w:ind w:left="0" w:firstLine="0"/>
      </w:pPr>
      <w:r/>
      <w:bookmarkStart w:id="10" w:name="_Toc46743509"/>
      <w:r/>
      <w:bookmarkStart w:id="11" w:name="_Hlk49857604"/>
      <w:r/>
      <w:bookmarkStart w:id="12" w:name="_Toc54646401"/>
      <w:r/>
      <w:bookmarkStart w:id="13" w:name="_Toc127778181"/>
      <w:r/>
      <w:bookmarkStart w:id="14" w:name="_Toc51339693"/>
      <w:r/>
      <w:bookmarkStart w:id="15" w:name="_Toc50125126"/>
      <w:r/>
      <w:bookmarkStart w:id="16" w:name="_Toc46743510"/>
      <w:r>
        <w:t xml:space="preserve">Информация в отношении исполнения договора, </w:t>
      </w:r>
      <w:bookmarkStart w:id="17" w:name="_Hlk46492347"/>
      <w:r>
        <w:t xml:space="preserve">которая должна быть учтена при подготовке заявки </w:t>
      </w:r>
      <w:bookmarkEnd w:id="17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10"/>
      <w:r/>
      <w:bookmarkEnd w:id="11"/>
      <w:r/>
      <w:bookmarkEnd w:id="12"/>
      <w:r/>
      <w:bookmarkEnd w:id="13"/>
      <w:r/>
      <w:r/>
    </w:p>
    <w:p>
      <w:pPr>
        <w:ind w:firstLine="567"/>
        <w:jc w:val="both"/>
        <w:rPr>
          <w:rFonts w:eastAsia="Calibri"/>
          <w:sz w:val="24"/>
          <w:szCs w:val="24"/>
        </w:rPr>
      </w:pPr>
      <w:r/>
      <w:bookmarkStart w:id="18" w:name="_Toc54646402"/>
      <w:r>
        <w:rPr>
          <w:rFonts w:eastAsia="Calibri"/>
          <w:sz w:val="24"/>
          <w:szCs w:val="24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bookmarkEnd w:id="18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84"/>
        <w:ind w:left="426" w:hanging="426"/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/>
      <w:bookmarkStart w:id="19" w:name="_Toc127778182"/>
      <w:r>
        <w:rPr>
          <w:sz w:val="24"/>
          <w:szCs w:val="24"/>
        </w:rPr>
        <w:t xml:space="preserve">Требования к продукции</w:t>
      </w:r>
      <w:bookmarkEnd w:id="14"/>
      <w:r/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</w:pPr>
      <w:r/>
      <w:bookmarkStart w:id="20" w:name="_Toc127778183"/>
      <w:r>
        <w:t xml:space="preserve">Требования к объемам и срокам выполнения работ</w:t>
      </w:r>
      <w:bookmarkEnd w:id="20"/>
      <w:r/>
      <w:r/>
    </w:p>
    <w:p>
      <w:pPr>
        <w:pStyle w:val="786"/>
      </w:pPr>
      <w:r/>
      <w:bookmarkStart w:id="21" w:name="_Toc127778184"/>
      <w:r>
        <w:t xml:space="preserve">Требования к видам и объемам работ</w:t>
      </w:r>
      <w:bookmarkEnd w:id="21"/>
      <w:r/>
      <w:r/>
    </w:p>
    <w:p>
      <w:pPr>
        <w:pStyle w:val="784"/>
        <w:numPr>
          <w:ilvl w:val="0"/>
          <w:numId w:val="0"/>
        </w:numPr>
        <w:rPr>
          <w:sz w:val="24"/>
          <w:szCs w:val="24"/>
        </w:rPr>
      </w:pPr>
      <w:r/>
      <w:bookmarkStart w:id="22" w:name="_Toc51339695"/>
      <w:r/>
      <w:bookmarkStart w:id="23" w:name="_Toc127778185"/>
      <w:r>
        <w:rPr>
          <w:sz w:val="24"/>
          <w:szCs w:val="24"/>
        </w:rPr>
        <w:t xml:space="preserve">Таблица 2. Перечень </w:t>
      </w:r>
      <w:bookmarkEnd w:id="22"/>
      <w:r>
        <w:rPr>
          <w:sz w:val="24"/>
          <w:szCs w:val="24"/>
        </w:rPr>
        <w:t xml:space="preserve">и объем выполняемых работ</w:t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234"/>
        </w:trPr>
        <w:tc>
          <w:tcPr>
            <w:tcW w:w="850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0"/>
              </w:num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</w:r>
            <w:r>
              <w:rPr>
                <w:rFonts w:eastAsia="Times New Roman"/>
                <w:i/>
              </w:rPr>
            </w:r>
            <w:r>
              <w:rPr>
                <w:rFonts w:eastAsia="Times New Roman"/>
                <w:i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 43.39.19.190 Выполнение ремонтных работ помещений Исполнительного аппарата, расположенных по адресу: г. Хабаровск, ул. Фрунзе, 49.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ведомостями объемов работ (Приложение №2.1.-2.11. к настоящим Техническим требованиям).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786"/>
      </w:pPr>
      <w:r/>
      <w:bookmarkStart w:id="24" w:name="_Toc51339696"/>
      <w:r/>
      <w:bookmarkStart w:id="25" w:name="_Toc127778186"/>
      <w:r>
        <w:t xml:space="preserve">Требования </w:t>
      </w:r>
      <w:bookmarkEnd w:id="24"/>
      <w:r>
        <w:t xml:space="preserve">к срокам выполнения работ</w:t>
      </w:r>
      <w:bookmarkEnd w:id="25"/>
      <w:r/>
      <w:r/>
    </w:p>
    <w:p>
      <w:pPr>
        <w:pStyle w:val="784"/>
        <w:numPr>
          <w:ilvl w:val="0"/>
          <w:numId w:val="0"/>
        </w:numPr>
        <w:rPr>
          <w:sz w:val="24"/>
          <w:szCs w:val="24"/>
        </w:rPr>
      </w:pPr>
      <w:r/>
      <w:bookmarkStart w:id="26" w:name="_Toc50125127"/>
      <w:r/>
      <w:bookmarkStart w:id="27" w:name="_Toc51339697"/>
      <w:r/>
      <w:bookmarkStart w:id="28" w:name="_Toc127778187"/>
      <w:r/>
      <w:bookmarkEnd w:id="15"/>
      <w:r>
        <w:rPr>
          <w:sz w:val="24"/>
          <w:szCs w:val="24"/>
        </w:rPr>
        <w:t xml:space="preserve">Таблица 3.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r/>
      <w:bookmarkEnd w:id="27"/>
      <w:r/>
      <w:bookmarkEnd w:id="29"/>
      <w:r>
        <w:rPr>
          <w:sz w:val="24"/>
          <w:szCs w:val="24"/>
        </w:rPr>
        <w:t xml:space="preserve">выполнения работ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</w:t>
            </w:r>
            <w:r>
              <w:rPr>
                <w:sz w:val="24"/>
                <w:szCs w:val="24"/>
              </w:rPr>
              <w:t xml:space="preserve">ончанию срока выполнения работ 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bookmarkEnd w:id="16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457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9"/>
              </w:numPr>
            </w:pPr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ОКПД 43.39.19.190 Выполнение ремонтных работ помещений Исполнительного аппарата, расположенных по адресу: г. Хабаровск, ул. Фрунзе, 49.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28</w:t>
            </w:r>
            <w:r>
              <w:rPr>
                <w:sz w:val="24"/>
                <w:szCs w:val="24"/>
              </w:rPr>
              <w:t xml:space="preserve">.10</w:t>
            </w:r>
            <w:r>
              <w:rPr>
                <w:sz w:val="24"/>
                <w:szCs w:val="24"/>
              </w:rPr>
              <w:t xml:space="preserve">.2025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29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  <w:t xml:space="preserve">.202</w:t>
            </w:r>
            <w:r>
              <w:rPr>
                <w:sz w:val="24"/>
                <w:szCs w:val="24"/>
              </w:rPr>
              <w:t xml:space="preserve">5 г.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sz w:val="24"/>
          <w:szCs w:val="24"/>
        </w:rPr>
      </w:pPr>
      <w:r/>
      <w:bookmarkStart w:id="30" w:name="_Toc50125131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*</w:t>
      </w:r>
      <w:r>
        <w:rPr>
          <w:sz w:val="24"/>
          <w:szCs w:val="24"/>
        </w:rPr>
        <w:t xml:space="preserve">дата объявления</w:t>
      </w:r>
      <w:r>
        <w:rPr>
          <w:sz w:val="24"/>
          <w:szCs w:val="24"/>
        </w:rPr>
        <w:t xml:space="preserve"> закупки рассчитан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с учётом требований к</w:t>
      </w:r>
      <w:r>
        <w:rPr>
          <w:sz w:val="24"/>
          <w:szCs w:val="24"/>
        </w:rPr>
        <w:t xml:space="preserve"> окончанию срока выполнения работ, согласно программы ремонтов, увеличение срока исполнения работ не допускается, так как окончание срока работ вызвано необходимостью полного завершения работ и сдачи объекта после ремонта в эксплуатацию в указанный период.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0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87"/>
      </w:pPr>
      <w:r/>
      <w:bookmarkStart w:id="31" w:name="_Toc127778188"/>
      <w:r/>
      <w:bookmarkStart w:id="32" w:name="_Toc51339698"/>
      <w:r>
        <w:t xml:space="preserve">Требования к качеству работ</w:t>
      </w:r>
      <w:bookmarkEnd w:id="31"/>
      <w:r/>
      <w:r/>
    </w:p>
    <w:p>
      <w:pPr>
        <w:pStyle w:val="784"/>
        <w:numPr>
          <w:ilvl w:val="0"/>
          <w:numId w:val="0"/>
        </w:numPr>
        <w:rPr>
          <w:sz w:val="24"/>
          <w:szCs w:val="24"/>
        </w:rPr>
      </w:pPr>
      <w:r/>
      <w:bookmarkStart w:id="33" w:name="_Toc127778189"/>
      <w:r>
        <w:rPr>
          <w:sz w:val="24"/>
          <w:szCs w:val="24"/>
        </w:rPr>
        <w:t xml:space="preserve">Таблица 4. Требования к </w:t>
      </w:r>
      <w:bookmarkEnd w:id="30"/>
      <w:r/>
      <w:bookmarkEnd w:id="32"/>
      <w:r>
        <w:rPr>
          <w:sz w:val="24"/>
          <w:szCs w:val="24"/>
        </w:rPr>
        <w:t xml:space="preserve">качеству работ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53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2552"/>
        <w:gridCol w:w="7513"/>
        <w:gridCol w:w="1559"/>
        <w:gridCol w:w="1843"/>
      </w:tblGrid>
      <w:tr>
        <w:tblPrEx/>
        <w:trPr/>
        <w:tc>
          <w:tcPr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51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Требование заказчика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5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51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0"/>
        </w:trPr>
        <w:tc>
          <w:tcPr>
            <w:tcW w:w="102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выполнению работ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1"/>
                <w:numId w:val="11"/>
              </w:numPr>
              <w:contextualSpacing/>
              <w:ind w:left="-117" w:firstLine="142"/>
              <w:spacing w:before="60" w:after="60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Общие требования к выполнению работ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2"/>
                <w:numId w:val="11"/>
              </w:numPr>
              <w:contextualSpacing/>
              <w:ind w:hanging="1199"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r>
              <w:rPr>
                <w:i/>
                <w:iCs/>
                <w:sz w:val="20"/>
                <w:szCs w:val="20"/>
              </w:rPr>
              <w:t xml:space="preserve">Соблюдение при выполнении работ норм и правил нормативно-технических документов</w:t>
            </w:r>
            <w:r/>
          </w:p>
        </w:tc>
        <w:tc>
          <w:tcPr>
            <w:shd w:val="clear" w:color="auto" w:fill="auto"/>
            <w:tcW w:w="7513" w:type="dxa"/>
            <w:textDirection w:val="lrTb"/>
            <w:noWrap w:val="false"/>
          </w:tcPr>
          <w:p>
            <w:pPr>
              <w:contextualSpacing/>
              <w:ind w:firstLine="206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Правила организации технического обслуживания и ремонта объектов электроэнергетики (приказ </w:t>
            </w:r>
            <w:r>
              <w:rPr>
                <w:i/>
                <w:iCs/>
                <w:sz w:val="22"/>
                <w:szCs w:val="22"/>
              </w:rPr>
              <w:t xml:space="preserve">МинЭнерго</w:t>
            </w:r>
            <w:r>
              <w:rPr>
                <w:i/>
                <w:iCs/>
                <w:sz w:val="22"/>
                <w:szCs w:val="22"/>
              </w:rPr>
              <w:t xml:space="preserve"> России от 25.10.2017 №1013);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14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12.10.2022 №587);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СНиП 12-01-2004 (СП 48.13330.2019) «Свод правил. Организация строительства»;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17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РД 153-34.0-21.601-98 «Типовая инструкция по эксплу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атации производственных зданий 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и сооружений энергопредприятия. Часть 2, раздел 2. Технология ремонтов зданий и сооружений»;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СП 71.13330.2017 Изоляционные и отделочные покрытия Актуализированная редакция СНиП 3.04.01-87;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bCs/>
                <w:i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СП 72.13330.2016. Свод правил. Защита строительных конструкций и сооружений от коррозии. СНиП 3.04.03-85" (ред. от 28.01.2019)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;</w:t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15"/>
              </w:numPr>
              <w:ind w:left="0" w:firstLine="142"/>
              <w:tabs>
                <w:tab w:val="left" w:pos="182" w:leader="none"/>
                <w:tab w:val="left" w:pos="413" w:leader="none"/>
              </w:tabs>
              <w:rPr>
                <w:bCs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rFonts w:eastAsia="Calibri"/>
                <w:bCs/>
                <w:sz w:val="24"/>
                <w:szCs w:val="24"/>
                <w:highlight w:val="white"/>
                <w:lang w:eastAsia="en-US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ind w:left="0" w:firstLine="142"/>
              <w:tabs>
                <w:tab w:val="left" w:pos="182" w:leader="none"/>
                <w:tab w:val="left" w:pos="413" w:leader="none"/>
              </w:tabs>
              <w:rPr>
                <w:bCs/>
                <w:i/>
                <w:iCs/>
                <w:sz w:val="22"/>
                <w:szCs w:val="22"/>
                <w:highlight w:val="whit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ВСН 214-82 Сборник инструкций по защите от коррозий;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firstLine="142"/>
              <w:jc w:val="both"/>
              <w:tabs>
                <w:tab w:val="left" w:pos="425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Положение «Об о</w:t>
            </w:r>
            <w:r>
              <w:rPr>
                <w:i/>
                <w:iCs/>
                <w:sz w:val="22"/>
                <w:szCs w:val="22"/>
              </w:rPr>
              <w:t xml:space="preserve">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29.11.2019 №555)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19"/>
              </w:numPr>
              <w:contextualSpacing/>
              <w:ind w:left="0" w:firstLine="142"/>
              <w:jc w:val="both"/>
              <w:tabs>
                <w:tab w:val="left" w:pos="182" w:leader="none"/>
                <w:tab w:val="left" w:pos="41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Технические условия, технологические карты и проекты производства работ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25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  <w:sz w:val="20"/>
                <w:szCs w:val="20"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</w:pPr>
            <w:r>
              <w:rPr>
                <w:b/>
                <w:sz w:val="20"/>
                <w:szCs w:val="20"/>
              </w:rPr>
              <w:t xml:space="preserve">-//-</w:t>
            </w:r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trHeight w:val="208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1.2</w:t>
            </w:r>
            <w:r>
              <w:rPr>
                <w:rFonts w:eastAsia="Calibri"/>
                <w:i/>
                <w:iCs/>
                <w:sz w:val="20"/>
                <w:szCs w:val="20"/>
              </w:rPr>
              <w:t xml:space="preserve">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spacing w:before="60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Требования к организации работ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eastAsia="Calibri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          1.2.1.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i/>
                <w:sz w:val="20"/>
                <w:szCs w:val="20"/>
              </w:rPr>
              <w:t xml:space="preserve">Требования к организации процесса выполнения работ:</w:t>
            </w:r>
            <w:r/>
          </w:p>
        </w:tc>
        <w:tc>
          <w:tcPr>
            <w:tcW w:w="7513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ых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помещений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, оптимальное расходование материально-технических и трудовые ресурсов. Подрядчик</w:t>
            </w:r>
            <w:r>
              <w:rPr>
                <w:bCs/>
                <w:i/>
                <w:iCs/>
                <w:sz w:val="22"/>
                <w:highlight w:val="white"/>
              </w:rPr>
              <w:t xml:space="preserve"> разрабатывает план подготовки к ремонту в соответствии с планами производственных объектов, принятым к исполнению объемом работ и согласованным участием в материально–техническом обеспечении ремонтных работ.</w:t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bCs/>
                <w:i/>
                <w:iCs/>
                <w:sz w:val="22"/>
                <w:highlight w:val="white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Правил </w:t>
            </w:r>
            <w:r>
              <w:rPr>
                <w:bCs/>
                <w:i/>
                <w:iCs/>
                <w:sz w:val="22"/>
                <w:highlight w:val="white"/>
              </w:rPr>
              <w:t xml:space="preserve">ТОиР</w:t>
            </w:r>
            <w:r>
              <w:rPr>
                <w:bCs/>
                <w:i/>
                <w:iCs/>
                <w:sz w:val="22"/>
                <w:highlight w:val="white"/>
              </w:rPr>
              <w:t xml:space="preserve"> (ведомостью дополнительных работ по ремонту и протоколом исключения работ из ведомости планируемых работ по ремонту), согласовываются с</w:t>
            </w:r>
            <w:r>
              <w:rPr>
                <w:bCs/>
                <w:i/>
                <w:iCs/>
                <w:sz w:val="22"/>
                <w:highlight w:val="white"/>
              </w:rPr>
              <w:t xml:space="preserve">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</w:t>
            </w:r>
            <w:r>
              <w:rPr>
                <w:bCs/>
                <w:i/>
                <w:iCs/>
                <w:sz w:val="22"/>
                <w:highlight w:val="white"/>
              </w:rPr>
              <w:t xml:space="preserve">непосредственную эксплуатацию производственного объекта, определяется условиями договора.</w:t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bCs/>
                <w:i/>
                <w:iCs/>
                <w:sz w:val="22"/>
                <w:highlight w:val="white"/>
              </w:rPr>
              <w:t xml:space="preserve">До начала ремонта Подрядчик:</w:t>
            </w:r>
            <w:r/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проверяет удостоверения стропальщиков, крановщиков и лиц других специальностей на право выполнения работ при ремонте;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283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проверяет выполнение требований допуска ремонтного и командированного персонала, предусмотренного п. 1.2.2 </w:t>
            </w:r>
            <w:r>
              <w:rPr>
                <w:rFonts w:eastAsia="Calibri"/>
                <w:bCs/>
                <w:i/>
                <w:iCs/>
                <w:sz w:val="22"/>
                <w:szCs w:val="24"/>
              </w:rPr>
              <w:t xml:space="preserve">ТТ.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firstLine="456"/>
              <w:jc w:val="both"/>
              <w:spacing w:after="60"/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/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highlight w:val="white"/>
              </w:rPr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i/>
                <w:iCs/>
                <w:sz w:val="20"/>
                <w:szCs w:val="20"/>
              </w:rPr>
              <w:t xml:space="preserve">Согласие с требованием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0"/>
                <w:szCs w:val="20"/>
              </w:rPr>
              <w:t xml:space="preserve">-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jc w:val="both"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1.2.2.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i/>
                <w:iCs/>
                <w:sz w:val="20"/>
                <w:szCs w:val="24"/>
                <w:highlight w:val="whit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456"/>
              <w:jc w:val="both"/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/>
          </w:p>
          <w:p>
            <w:pPr>
              <w:numPr>
                <w:ilvl w:val="0"/>
                <w:numId w:val="18"/>
              </w:numPr>
              <w:contextualSpacing/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Положением о допуске персонала подрядных организаций к выполнению работ на объектах АО «ДГК» №22.1-504-2023 (утверждено приказом АО «ДГК» №5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34 от 28.07.202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3) (Приложение №4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 к ТТ).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</w:pPr>
            <w:r>
              <w:rPr>
                <w:b/>
                <w:sz w:val="20"/>
                <w:szCs w:val="20"/>
              </w:rPr>
              <w:t xml:space="preserve">-</w:t>
            </w:r>
            <w:r/>
          </w:p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b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1.3.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b/>
                <w:sz w:val="22"/>
                <w:szCs w:val="22"/>
              </w:rPr>
              <w:t xml:space="preserve">Требования к используемым материалам, контролю качества работ и материалов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1028"/>
        </w:trPr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1.3.1.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i/>
                <w:sz w:val="22"/>
                <w:szCs w:val="22"/>
              </w:rPr>
              <w:t xml:space="preserve">Требования к используемым материально – техническим ресурсам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contextualSpacing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Материалы, необходимые для выполнения работ приобретаются Подрядчиком самостоятельно. 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0"/>
              </w:numPr>
              <w:contextualSpacing/>
              <w:ind w:left="35"/>
              <w:jc w:val="both"/>
              <w:tabs>
                <w:tab w:val="left" w:pos="406" w:leader="none"/>
              </w:tabs>
              <w:rPr>
                <w:rFonts w:eastAsia="Calibri"/>
                <w:bCs/>
                <w:i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Матер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иалы, приобретаемые Подрядчиком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 должны быть новыми и ранее не использованными, без повреждений. 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contextualSpacing/>
              <w:ind w:left="35"/>
              <w:jc w:val="both"/>
              <w:tabs>
                <w:tab w:val="left" w:pos="406" w:leader="none"/>
              </w:tabs>
              <w:rPr>
                <w:rFonts w:eastAsia="Calibri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contextualSpacing/>
              <w:ind w:left="35"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bCs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Calibri"/>
                <w:bCs/>
                <w:highlight w:val="white"/>
              </w:rPr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1582"/>
        </w:trPr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1.3.2.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i/>
                <w:sz w:val="22"/>
                <w:szCs w:val="22"/>
              </w:rPr>
              <w:t xml:space="preserve">Контроль качества используемых запасных частей и материалов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jc w:val="both"/>
              <w:spacing w:after="60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</w:rPr>
              <w:t xml:space="preserve">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  <w:r>
              <w:rPr>
                <w:i/>
                <w:sz w:val="22"/>
                <w:szCs w:val="22"/>
                <w:highlight w:val="white"/>
              </w:rPr>
            </w:r>
            <w:r>
              <w:rPr>
                <w:i/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</w:rPr>
      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</w:t>
            </w:r>
            <w:r>
              <w:rPr>
                <w:i/>
                <w:sz w:val="22"/>
                <w:szCs w:val="22"/>
              </w:rPr>
              <w:t xml:space="preserve">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61"/>
        </w:trPr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1.3.3.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i/>
                <w:sz w:val="22"/>
                <w:szCs w:val="22"/>
              </w:rPr>
              <w:t xml:space="preserve">Контроль качества работ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jc w:val="both"/>
              <w:spacing w:after="60"/>
            </w:pPr>
            <w:r>
              <w:rPr>
                <w:i/>
                <w:sz w:val="22"/>
                <w:szCs w:val="22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</w:t>
            </w:r>
            <w:r>
              <w:rPr>
                <w:i/>
                <w:sz w:val="22"/>
                <w:szCs w:val="22"/>
              </w:rPr>
      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/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Руководители </w:t>
            </w:r>
            <w:r>
              <w:rPr>
                <w:i/>
                <w:sz w:val="22"/>
                <w:szCs w:val="22"/>
              </w:rPr>
              <w:t xml:space="preserve">работ подрядных организаций, участвующие в производстве Работ совместно с представителями Заказчика,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</w:t>
            </w:r>
            <w:r>
              <w:rPr>
                <w:i/>
                <w:sz w:val="22"/>
                <w:szCs w:val="22"/>
              </w:rPr>
              <w:t xml:space="preserve">документации, качества применяемой оснастки, приспособлений и инструмента). 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jc w:val="both"/>
              <w:spacing w:after="60"/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b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1.4.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персоналу подрядчика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82"/>
        </w:trPr>
        <w:tc>
          <w:tcPr>
            <w:tcW w:w="1021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i/>
                <w:iCs/>
                <w:sz w:val="20"/>
                <w:szCs w:val="20"/>
              </w:rPr>
              <w:t xml:space="preserve">1.4.1.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highlight w:val="white"/>
              </w:rPr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eastAsia="Calibri"/>
                <w:bCs/>
                <w:highlight w:val="white"/>
              </w:rPr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352"/>
              <w:jc w:val="both"/>
              <w:rPr>
                <w:bCs/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Подрядчик должен иметь необходимое для выполнени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i/>
                <w:iCs/>
                <w:sz w:val="22"/>
                <w:szCs w:val="22"/>
              </w:rPr>
              <w:t xml:space="preserve">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ind w:firstLine="283"/>
              <w:jc w:val="both"/>
              <w:widowControl w:val="off"/>
              <w:tabs>
                <w:tab w:val="left" w:pos="426" w:leader="none"/>
              </w:tabs>
              <w:rPr>
                <w:i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34" w:firstLine="249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rFonts w:eastAsia="Calibri"/>
                <w:i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электро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 - и пневмоинструментом) (возможно совмещение специальностей).</w:t>
            </w:r>
            <w:r>
              <w:rPr>
                <w:rFonts w:eastAsia="Calibri"/>
                <w:i/>
                <w:sz w:val="24"/>
                <w:szCs w:val="24"/>
                <w:highlight w:val="white"/>
              </w:rPr>
            </w:r>
            <w:r>
              <w:rPr>
                <w:rFonts w:eastAsia="Calibri"/>
                <w:i/>
                <w:sz w:val="24"/>
                <w:szCs w:val="24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b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1.5.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Требования к безопасности работ и охране труда</w:t>
            </w:r>
            <w:r>
              <w:rPr>
                <w:b/>
                <w:bCs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sz w:val="20"/>
                <w:szCs w:val="20"/>
                <w:shd w:val="clear" w:color="auto" w:fill="ffff99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rFonts w:eastAsia="Calibri"/>
                <w:i/>
                <w:iCs/>
                <w:sz w:val="20"/>
                <w:szCs w:val="20"/>
                <w:shd w:val="clear" w:color="auto" w:fill="ffff99"/>
              </w:rPr>
            </w:r>
            <w:r>
              <w:rPr>
                <w:rFonts w:eastAsia="Calibri"/>
                <w:i/>
                <w:iCs/>
                <w:sz w:val="20"/>
                <w:szCs w:val="20"/>
                <w:shd w:val="clear" w:color="auto" w:fill="ffff99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rFonts w:eastAsia="Calibri"/>
                <w:i/>
                <w:iCs/>
                <w:sz w:val="20"/>
                <w:szCs w:val="20"/>
                <w:shd w:val="clear" w:color="auto" w:fill="ffff99"/>
              </w:rPr>
            </w:r>
            <w:r>
              <w:rPr>
                <w:rFonts w:eastAsia="Calibri"/>
                <w:i/>
                <w:iCs/>
                <w:sz w:val="20"/>
                <w:szCs w:val="20"/>
                <w:shd w:val="clear" w:color="auto" w:fill="ffff99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1.5.1.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highlight w:val="white"/>
              </w:rPr>
              <w:outlineLvl w:val="2"/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Требования к безопасности выполняемых работ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21"/>
              </w:numPr>
              <w:contextualSpacing/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rFonts w:eastAsia="Calibri"/>
                <w:i/>
                <w:sz w:val="24"/>
                <w:szCs w:val="24"/>
              </w:rPr>
            </w:r>
            <w:r>
              <w:rPr>
                <w:rFonts w:eastAsia="Calibri"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21"/>
              </w:numPr>
              <w:contextualSpacing/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      </w:r>
            <w:r>
              <w:rPr>
                <w:rFonts w:eastAsia="Calibri"/>
                <w:bCs/>
                <w:i/>
                <w:sz w:val="22"/>
                <w:szCs w:val="22"/>
              </w:rPr>
              <w:t xml:space="preserve">.</w:t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  <w:r>
              <w:rPr>
                <w:rFonts w:eastAsia="Calibri"/>
                <w:bCs/>
                <w:i/>
                <w:sz w:val="22"/>
                <w:szCs w:val="22"/>
              </w:rPr>
            </w:r>
          </w:p>
          <w:p>
            <w:pPr>
              <w:jc w:val="both"/>
              <w:spacing w:line="233" w:lineRule="auto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1.5.2.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rFonts w:eastAsia="Calibri"/>
                <w:bCs/>
                <w:highlight w:val="white"/>
              </w:rPr>
              <w:outlineLvl w:val="2"/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eastAsia="Calibri"/>
                <w:bCs/>
                <w:highlight w:val="white"/>
              </w:rPr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22"/>
              </w:numPr>
              <w:contextualSpacing/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rFonts w:eastAsia="Calibri"/>
                <w:bCs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22"/>
              </w:numPr>
              <w:contextualSpacing/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rFonts w:eastAsia="Calibri"/>
                <w:bCs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22"/>
              </w:numPr>
              <w:contextualSpacing/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rFonts w:eastAsia="Calibri"/>
                <w:bCs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ГОСТ 12.1.004-91* Система стандартов безопасности труда. Пожарная безопасность. Общие требования.</w:t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  <w:r>
              <w:rPr>
                <w:rFonts w:eastAsia="Calibri"/>
                <w:bCs/>
                <w:i/>
                <w:sz w:val="24"/>
                <w:szCs w:val="24"/>
              </w:rPr>
            </w:r>
          </w:p>
          <w:p>
            <w:pPr>
              <w:ind w:firstLine="283"/>
              <w:jc w:val="both"/>
              <w:spacing w:line="233" w:lineRule="auto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tabs>
                <w:tab w:val="left" w:pos="256" w:leader="none"/>
              </w:tabs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1.5.3.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rFonts w:eastAsia="Calibri"/>
                <w:bCs/>
                <w:highlight w:val="white"/>
              </w:rPr>
              <w:outlineLvl w:val="2"/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bCs/>
                <w:highlight w:val="white"/>
              </w:rPr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jc w:val="both"/>
              <w:spacing w:line="233" w:lineRule="auto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line="233" w:lineRule="auto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contextualSpacing/>
              <w:ind w:right="37"/>
              <w:jc w:val="both"/>
              <w:spacing w:line="233" w:lineRule="auto"/>
              <w:widowControl w:val="off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23"/>
              </w:numPr>
              <w:contextualSpacing/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rFonts w:eastAsia="Calibri"/>
                <w:i/>
                <w:sz w:val="24"/>
                <w:szCs w:val="24"/>
              </w:rPr>
            </w:r>
            <w:r>
              <w:rPr>
                <w:rFonts w:eastAsia="Calibri"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23"/>
              </w:numPr>
              <w:contextualSpacing/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rFonts w:eastAsia="Calibri"/>
                <w:i/>
                <w:sz w:val="24"/>
                <w:szCs w:val="24"/>
              </w:rPr>
            </w:r>
            <w:r>
              <w:rPr>
                <w:rFonts w:eastAsia="Calibri"/>
                <w:i/>
                <w:sz w:val="24"/>
                <w:szCs w:val="24"/>
              </w:rPr>
            </w:r>
          </w:p>
          <w:p>
            <w:pPr>
              <w:numPr>
                <w:ilvl w:val="0"/>
                <w:numId w:val="23"/>
              </w:numPr>
              <w:contextualSpacing/>
              <w:ind w:left="0" w:right="225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Водный кодекс Российской Федерации;</w:t>
            </w:r>
            <w:r>
              <w:rPr>
                <w:rFonts w:eastAsia="Calibri"/>
                <w:i/>
                <w:sz w:val="24"/>
                <w:szCs w:val="24"/>
              </w:rPr>
            </w:r>
            <w:r>
              <w:rPr>
                <w:rFonts w:eastAsia="Calibri"/>
                <w:i/>
                <w:sz w:val="24"/>
                <w:szCs w:val="24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256" w:leader="none"/>
              </w:tabs>
              <w:rPr>
                <w:rFonts w:eastAsia="Calibri"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alibri"/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7"/>
        </w:trPr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1.5.4.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rFonts w:eastAsia="Calibri"/>
                <w:bCs/>
                <w:highlight w:val="white"/>
              </w:rPr>
              <w:outlineLvl w:val="2"/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bCs/>
                <w:highlight w:val="white"/>
              </w:rPr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430"/>
              <w:jc w:val="both"/>
              <w:spacing w:line="233" w:lineRule="auto"/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обеспечить допуск персонала подрядчика к месту проведения ремонтных работ. </w:t>
            </w:r>
            <w:r/>
          </w:p>
          <w:p>
            <w:pPr>
              <w:ind w:firstLine="430"/>
              <w:jc w:val="both"/>
              <w:spacing w:line="233" w:lineRule="auto"/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/>
          </w:p>
          <w:p>
            <w:pPr>
              <w:ind w:firstLine="430"/>
              <w:jc w:val="both"/>
              <w:spacing w:line="233" w:lineRule="auto"/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      </w:r>
            <w:r/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/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</w:pPr>
            <w:r>
              <w:rPr>
                <w:i/>
                <w:iCs/>
                <w:sz w:val="22"/>
                <w:szCs w:val="22"/>
              </w:rPr>
              <w:t xml:space="preserve">Правила по охране труда при строительстве, реконструкции и ремонте (утверждены приказом Министерства труда от 11.12.2020 № 883н);</w:t>
            </w:r>
            <w:r/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/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/>
          </w:p>
          <w:p>
            <w:pPr>
              <w:numPr>
                <w:ilvl w:val="0"/>
                <w:numId w:val="13"/>
              </w:numPr>
              <w:ind w:left="62" w:firstLine="0"/>
              <w:jc w:val="both"/>
              <w:spacing w:line="233" w:lineRule="auto"/>
              <w:widowControl w:val="off"/>
              <w:tabs>
                <w:tab w:val="left" w:pos="425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№903н. </w:t>
            </w:r>
            <w:r/>
          </w:p>
          <w:p>
            <w:pPr>
              <w:numPr>
                <w:ilvl w:val="0"/>
                <w:numId w:val="13"/>
              </w:numPr>
              <w:contextualSpacing/>
              <w:ind w:left="62" w:firstLine="0"/>
              <w:jc w:val="both"/>
              <w:spacing w:line="233" w:lineRule="auto"/>
              <w:tabs>
                <w:tab w:val="left" w:pos="313" w:leader="none"/>
                <w:tab w:val="left" w:pos="413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  <w:r/>
          </w:p>
          <w:p>
            <w:pPr>
              <w:numPr>
                <w:ilvl w:val="0"/>
                <w:numId w:val="13"/>
              </w:numPr>
              <w:contextualSpacing/>
              <w:ind w:left="62" w:firstLine="0"/>
              <w:jc w:val="both"/>
              <w:spacing w:line="233" w:lineRule="auto"/>
              <w:tabs>
                <w:tab w:val="left" w:pos="313" w:leader="none"/>
                <w:tab w:val="left" w:pos="413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  <w:r/>
          </w:p>
          <w:p>
            <w:pPr>
              <w:contextualSpacing/>
              <w:jc w:val="both"/>
              <w:spacing w:line="233" w:lineRule="auto"/>
              <w:tabs>
                <w:tab w:val="left" w:pos="256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572" w:leader="none"/>
              </w:tabs>
              <w:rPr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Cs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результатам работ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tabs>
                <w:tab w:val="center" w:pos="1167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2.1.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Общие требования к результатам работ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jc w:val="both"/>
              <w:rPr>
                <w:bCs/>
                <w:i/>
                <w:highlight w:val="whit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Состояние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помещений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после ремонта должно соответствовать требованиям нормативно-технической документации в течение гарантийного срока. </w:t>
            </w:r>
            <w:r>
              <w:rPr>
                <w:bCs/>
                <w:i/>
                <w:highlight w:val="white"/>
              </w:rPr>
            </w:r>
            <w:r>
              <w:rPr>
                <w:bCs/>
                <w:i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Согласие с </w:t>
            </w:r>
            <w:r>
              <w:rPr>
                <w:i/>
                <w:sz w:val="20"/>
                <w:szCs w:val="20"/>
              </w:rPr>
              <w:t xml:space="preserve">требованием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vAlign w:val="center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2.2.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Согласие с требованием</w:t>
            </w:r>
            <w:r>
              <w:rPr>
                <w:b/>
                <w:i/>
                <w:iCs/>
                <w:sz w:val="20"/>
                <w:szCs w:val="20"/>
              </w:rPr>
            </w:r>
            <w:r>
              <w:rPr>
                <w:b/>
                <w:i/>
                <w:i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contextualSpacing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 xml:space="preserve">2.3.</w:t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оформлению </w:t>
            </w:r>
            <w:r>
              <w:rPr>
                <w:b/>
                <w:sz w:val="20"/>
                <w:szCs w:val="20"/>
              </w:rPr>
              <w:t xml:space="preserve">и составу </w:t>
            </w:r>
            <w:r>
              <w:rPr>
                <w:b/>
                <w:sz w:val="20"/>
                <w:szCs w:val="20"/>
              </w:rPr>
              <w:t xml:space="preserve">документации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Представить Заказчику с актами выполненных работ (в </w:t>
            </w:r>
            <w:r>
              <w:rPr>
                <w:i/>
                <w:iCs/>
                <w:sz w:val="22"/>
                <w:szCs w:val="22"/>
              </w:rPr>
              <w:t xml:space="preserve">2</w:t>
            </w:r>
            <w:r>
              <w:rPr>
                <w:i/>
                <w:iCs/>
                <w:sz w:val="22"/>
                <w:szCs w:val="22"/>
              </w:rPr>
              <w:t xml:space="preserve"> (</w:t>
            </w:r>
            <w:r>
              <w:rPr>
                <w:i/>
                <w:iCs/>
                <w:sz w:val="22"/>
                <w:szCs w:val="22"/>
              </w:rPr>
              <w:t xml:space="preserve">двух</w:t>
            </w:r>
            <w:r>
              <w:rPr>
                <w:i/>
                <w:iCs/>
                <w:sz w:val="22"/>
                <w:szCs w:val="22"/>
              </w:rPr>
              <w:t xml:space="preserve">) экземплярах, а также электронные версии Акта КС-2 и Справки КС-3 в формате *</w:t>
            </w:r>
            <w:r>
              <w:rPr>
                <w:i/>
                <w:iCs/>
                <w:sz w:val="22"/>
                <w:szCs w:val="22"/>
              </w:rPr>
              <w:t xml:space="preserve">gsfx</w:t>
            </w:r>
            <w:r>
              <w:rPr>
                <w:i/>
                <w:iCs/>
                <w:sz w:val="22"/>
                <w:szCs w:val="22"/>
              </w:rPr>
              <w:t xml:space="preserve"> ПК «ГРАНД Смета» на цифровом носителе) исполнительную документацию в электронном виде (в формате *.</w:t>
            </w:r>
            <w:r>
              <w:rPr>
                <w:i/>
                <w:iCs/>
                <w:sz w:val="22"/>
                <w:szCs w:val="22"/>
              </w:rPr>
              <w:t xml:space="preserve">pdf</w:t>
            </w:r>
            <w:r>
              <w:rPr>
                <w:i/>
                <w:iCs/>
                <w:sz w:val="22"/>
                <w:szCs w:val="22"/>
              </w:rPr>
              <w:t xml:space="preserve">) и на бумажном носителе в </w:t>
            </w:r>
            <w:r>
              <w:rPr>
                <w:i/>
                <w:iCs/>
                <w:sz w:val="22"/>
                <w:szCs w:val="22"/>
              </w:rPr>
              <w:t xml:space="preserve">2</w:t>
            </w:r>
            <w:r>
              <w:rPr>
                <w:i/>
                <w:iCs/>
                <w:sz w:val="22"/>
                <w:szCs w:val="22"/>
              </w:rPr>
              <w:t xml:space="preserve">-х экземплярах.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28"/>
              </w:numPr>
              <w:contextualSpacing/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Приказом Министерства строительства и ЖКХ №344/пр от 16.05.2023 «С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остав и порядок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8"/>
              </w:numPr>
              <w:contextualSpacing/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Регламентом оформления документации при проведении сварочных работ при монтаже и ремонте оборудования объектов АО «ДГК»» (приказ АО «ДГК» от 15.05.2023 №340);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8"/>
              </w:numPr>
              <w:contextualSpacing/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sz w:val="22"/>
                <w:szCs w:val="22"/>
                <w:highlight w:val="white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      </w:r>
            <w:r>
              <w:rPr>
                <w:rFonts w:eastAsia="Iosevka Term SS03"/>
                <w:i/>
                <w:iCs/>
                <w:color w:val="000000"/>
                <w:sz w:val="22"/>
                <w:szCs w:val="22"/>
              </w:rPr>
              <w:t xml:space="preserve">».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283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rFonts w:eastAsia="Iosevka Term SS03"/>
                <w:bCs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ограничиваясь:          </w:t>
            </w:r>
            <w:r>
              <w:rPr>
                <w:rFonts w:eastAsia="Iosevka Term SS03"/>
                <w:bCs/>
                <w:i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Iosevka Term SS03"/>
                <w:bCs/>
                <w:i/>
                <w:color w:val="000000"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счета-фактуры на материалы, закупаемые Подрядчиком для использования в процессе ремонта;                                                                                                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исполнительные чертежи;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а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кт освидетельствования скрытых работ;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shd w:val="clear" w:color="auto" w:fill="ffffff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фактическая ведомость (опись) объёма ремонтно-строительных работ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shd w:val="clear" w:color="auto" w:fill="ffffff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акт приёмки из ремонта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здания, сооружения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7"/>
              </w:numPr>
              <w:contextualSpacing/>
              <w:ind w:left="0" w:right="72" w:firstLine="142"/>
              <w:jc w:val="both"/>
              <w:spacing w:line="264" w:lineRule="auto"/>
              <w:shd w:val="clear" w:color="auto" w:fill="ffffff"/>
              <w:widowControl w:val="off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none"/>
                <w:lang w:eastAsia="en-US"/>
              </w:rPr>
              <w:t xml:space="preserve">фото- видеозаписи результата работ (при необходимости);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0" w:firstLine="142"/>
              <w:jc w:val="both"/>
              <w:spacing w:before="60"/>
              <w:tabs>
                <w:tab w:val="left" w:pos="425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другие документы по усмотрению Сторон с учетом специфики Работ.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-//-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bCs/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iCs/>
                <w:sz w:val="22"/>
                <w:szCs w:val="22"/>
              </w:rPr>
            </w:r>
            <w:r>
              <w:rPr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2"/>
                <w:szCs w:val="22"/>
                <w:lang w:bidi="ru-RU"/>
              </w:rPr>
              <w:t xml:space="preserve">(в том числе в разделах №6 и №7</w:t>
            </w: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>
              <w:rPr>
                <w:b/>
                <w:i/>
                <w:iCs/>
                <w:sz w:val="22"/>
                <w:szCs w:val="22"/>
              </w:rPr>
            </w:r>
            <w:r>
              <w:rPr>
                <w:b/>
                <w:i/>
                <w:i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i/>
                <w:iCs/>
                <w:sz w:val="20"/>
                <w:szCs w:val="20"/>
              </w:rPr>
            </w:r>
            <w:r>
              <w:rPr>
                <w:b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320"/>
        </w:trPr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10065" w:type="dxa"/>
            <w:vAlign w:val="center"/>
            <w:textDirection w:val="lrTb"/>
            <w:noWrap w:val="false"/>
          </w:tcPr>
          <w:p>
            <w:pPr>
              <w:keepNext/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r/>
      <w:r/>
    </w:p>
    <w:p>
      <w:pPr>
        <w:pStyle w:val="784"/>
        <w:numPr>
          <w:ilvl w:val="0"/>
          <w:numId w:val="0"/>
        </w:numPr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4"/>
        <w:numPr>
          <w:ilvl w:val="0"/>
          <w:numId w:val="0"/>
        </w:numPr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4"/>
        <w:numPr>
          <w:ilvl w:val="0"/>
          <w:numId w:val="0"/>
        </w:numPr>
        <w:jc w:val="center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Требования к документации по ценообразованию</w:t>
      </w:r>
      <w:r>
        <w:rPr>
          <w:sz w:val="24"/>
          <w:szCs w:val="24"/>
        </w:rPr>
        <w:t xml:space="preserve"> на этапе закупки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tabs>
          <w:tab w:val="left" w:pos="107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567"/>
        <w:jc w:val="both"/>
        <w:tabs>
          <w:tab w:val="left" w:pos="107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567"/>
        <w:jc w:val="both"/>
        <w:tabs>
          <w:tab w:val="left" w:pos="1078" w:leader="none"/>
        </w:tabs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784"/>
        <w:numPr>
          <w:ilvl w:val="0"/>
          <w:numId w:val="0"/>
        </w:numPr>
        <w:jc w:val="center"/>
        <w:keepLines/>
        <w:rPr>
          <w:sz w:val="24"/>
          <w:szCs w:val="24"/>
        </w:rPr>
      </w:pPr>
      <w:r/>
      <w:bookmarkStart w:id="38" w:name="_Toc127778194"/>
      <w:r>
        <w:rPr>
          <w:sz w:val="24"/>
          <w:szCs w:val="24"/>
        </w:rPr>
        <w:t xml:space="preserve">4. Требования к со</w:t>
      </w:r>
      <w:r>
        <w:rPr>
          <w:sz w:val="24"/>
          <w:szCs w:val="24"/>
        </w:rPr>
        <w:t xml:space="preserve">ставлению сметной документации </w:t>
      </w:r>
      <w:r>
        <w:rPr>
          <w:sz w:val="24"/>
          <w:szCs w:val="24"/>
        </w:rPr>
        <w:t xml:space="preserve">на этапе заключения </w:t>
      </w:r>
      <w:r>
        <w:rPr>
          <w:sz w:val="24"/>
          <w:szCs w:val="24"/>
        </w:rPr>
        <w:t xml:space="preserve">(исполнения) договора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left="0"/>
        <w:jc w:val="both"/>
        <w:shd w:val="clear" w:color="auto" w:fill="ffffff"/>
        <w:tabs>
          <w:tab w:val="left" w:pos="283" w:leader="none"/>
          <w:tab w:val="left" w:pos="567" w:leader="none"/>
        </w:tabs>
        <w:rPr>
          <w:bCs/>
        </w:rPr>
      </w:pPr>
      <w:r>
        <w:rPr>
          <w:bCs/>
        </w:rPr>
        <w:t xml:space="preserve">   </w:t>
      </w:r>
      <w:r>
        <w:rPr>
          <w:bCs/>
        </w:rPr>
        <w:t xml:space="preserve">      </w:t>
      </w:r>
      <w:r>
        <w:rPr>
          <w:bCs/>
        </w:rPr>
        <w:t xml:space="preserve">4.1. Требования к составлению сметной документации при заключении договора:</w:t>
      </w:r>
      <w:r>
        <w:rPr>
          <w:bCs/>
        </w:rPr>
      </w:r>
      <w:r>
        <w:rPr>
          <w:bCs/>
        </w:rPr>
      </w:r>
    </w:p>
    <w:p>
      <w:pPr>
        <w:pStyle w:val="995"/>
        <w:ind w:left="0"/>
        <w:jc w:val="both"/>
        <w:shd w:val="clear" w:color="auto" w:fill="ffffff"/>
        <w:tabs>
          <w:tab w:val="left" w:pos="709" w:leader="none"/>
        </w:tabs>
      </w:pPr>
      <w:r>
        <w:rPr>
          <w:bCs/>
        </w:rPr>
        <w:t xml:space="preserve"> </w:t>
      </w:r>
      <w:r>
        <w:rPr>
          <w:bCs/>
        </w:rPr>
        <w:t xml:space="preserve">     </w:t>
      </w:r>
      <w:r>
        <w:rPr>
          <w:bCs/>
        </w:rPr>
        <w:t xml:space="preserve">4.1.1. Сметная документация разработана заказчиком в рамках определения начальной (максимальной) цены договора в соответствии с требован</w:t>
      </w:r>
      <w:r>
        <w:rPr>
          <w:bCs/>
        </w:rPr>
        <w:t xml:space="preserve">иями, указанными в Приложении №1</w:t>
      </w:r>
      <w:bookmarkStart w:id="39" w:name="_GoBack"/>
      <w:r/>
      <w:bookmarkEnd w:id="39"/>
      <w:r>
        <w:rPr>
          <w:bCs/>
        </w:rPr>
        <w:t xml:space="preserve"> к настоящим Техническим требованиям, и включается в состав договора с приме</w:t>
      </w:r>
      <w:r>
        <w:rPr>
          <w:bCs/>
        </w:rPr>
        <w:t xml:space="preserve">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локальном сметном расчете единым индексом в итогах (после начисления лимитированных затрат до начисления НДС).</w:t>
      </w:r>
      <w:r/>
    </w:p>
    <w:p>
      <w:pPr>
        <w:jc w:val="both"/>
      </w:pPr>
      <w:r>
        <w:rPr>
          <w:rFonts w:eastAsia="Calibri"/>
          <w:sz w:val="24"/>
          <w:szCs w:val="24"/>
          <w:highlight w:val="white"/>
        </w:rPr>
        <w:t xml:space="preserve">Порядок расчета понижающего коэффициента определяется по формуле: </w:t>
      </w:r>
      <w:r/>
    </w:p>
    <w:p>
      <w:pPr>
        <w:jc w:val="both"/>
      </w:pPr>
      <w:r>
        <w:rPr>
          <w:rFonts w:eastAsia="Calibri"/>
          <w:sz w:val="24"/>
          <w:szCs w:val="24"/>
          <w:highlight w:val="white"/>
        </w:rPr>
        <w:t xml:space="preserve">P=N*k,</w:t>
      </w:r>
      <w:r/>
    </w:p>
    <w:p>
      <w:pPr>
        <w:jc w:val="both"/>
      </w:pPr>
      <w:r>
        <w:rPr>
          <w:rFonts w:eastAsia="Calibri"/>
          <w:sz w:val="24"/>
          <w:szCs w:val="24"/>
          <w:highlight w:val="white"/>
        </w:rPr>
        <w:t xml:space="preserve">где     P – стоимость предложения участника;</w:t>
      </w:r>
      <w:r/>
    </w:p>
    <w:p>
      <w:pPr>
        <w:jc w:val="both"/>
      </w:pPr>
      <w:r>
        <w:rPr>
          <w:rFonts w:eastAsia="Calibri"/>
          <w:sz w:val="24"/>
          <w:szCs w:val="24"/>
          <w:highlight w:val="white"/>
        </w:rPr>
        <w:t xml:space="preserve">N – начальная (максимальная) цена договора, определенная в соответствии со сметной документацией Заказчика, приведенной в приложении №3 к ТТ;</w:t>
      </w:r>
      <w:r/>
    </w:p>
    <w:p>
      <w:pPr>
        <w:jc w:val="both"/>
        <w:rPr>
          <w:rFonts w:eastAsia="Calibri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995"/>
        <w:ind w:left="0"/>
        <w:jc w:val="both"/>
        <w:shd w:val="clear" w:color="auto" w:fill="ffffff"/>
        <w:tabs>
          <w:tab w:val="left" w:pos="425" w:leader="none"/>
          <w:tab w:val="left" w:pos="709" w:leader="none"/>
        </w:tabs>
      </w:pPr>
      <w:r>
        <w:rPr>
          <w:bCs/>
        </w:rPr>
        <w:t xml:space="preserve">    </w:t>
      </w:r>
      <w:r>
        <w:rPr>
          <w:bCs/>
        </w:rPr>
        <w:t xml:space="preserve">  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  <w:r>
        <w:rPr>
          <w:highlight w:val="none"/>
        </w:rPr>
      </w:r>
      <w:r/>
    </w:p>
    <w:p>
      <w:pPr>
        <w:pStyle w:val="995"/>
        <w:ind w:left="0"/>
        <w:jc w:val="both"/>
        <w:shd w:val="clear" w:color="auto" w:fill="ffffff"/>
        <w:tabs>
          <w:tab w:val="left" w:pos="709" w:leader="none"/>
        </w:tabs>
        <w:rPr>
          <w:b w:val="0"/>
          <w:bCs w:val="0"/>
          <w:highlight w:val="white"/>
        </w:rPr>
      </w:pPr>
      <w:r>
        <w:rPr>
          <w:bCs/>
        </w:rPr>
      </w:r>
      <w:r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4.2. </w:t>
      </w:r>
      <w:r>
        <w:rPr>
          <w:b w:val="0"/>
          <w:bCs w:val="0"/>
          <w:highlight w:val="white"/>
        </w:rPr>
        <w:t xml:space="preserve">Требования к составлению сметной документации на этапе исполнения договора:</w:t>
      </w:r>
      <w:r>
        <w:rPr>
          <w:b w:val="0"/>
        </w:rPr>
        <w:t xml:space="preserve">4.2.1. </w:t>
      </w:r>
      <w:r>
        <w:rPr>
          <w:b w:val="0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</w:t>
      </w:r>
      <w:r>
        <w:rPr>
          <w:b w:val="0"/>
          <w:highlight w:val="white"/>
        </w:rPr>
        <w:t xml:space="preserve">и с требованиями, указанными в П</w:t>
      </w:r>
      <w:r>
        <w:rPr>
          <w:b w:val="0"/>
          <w:highlight w:val="white"/>
        </w:rPr>
        <w:t xml:space="preserve">риложен</w:t>
      </w:r>
      <w:r>
        <w:rPr>
          <w:b w:val="0"/>
          <w:highlight w:val="white"/>
        </w:rPr>
        <w:t xml:space="preserve">ии №1</w:t>
      </w:r>
      <w:r>
        <w:rPr>
          <w:b w:val="0"/>
          <w:highlight w:val="white"/>
        </w:rPr>
        <w:t xml:space="preserve"> к ТТ.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995"/>
        <w:ind w:left="0" w:right="0" w:firstLine="142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b w:val="0"/>
          <w:highlight w:val="white"/>
        </w:rPr>
      </w:r>
      <w:r>
        <w:rPr>
          <w:b w:val="0"/>
        </w:rPr>
        <w:t xml:space="preserve">4.2.2. </w:t>
      </w:r>
      <w:r>
        <w:rPr>
          <w:b w:val="0"/>
          <w:highlight w:val="white"/>
        </w:rPr>
        <w:t xml:space="preserve">Материалы, приобретаемые Подрядчиком в рамках непредвиденных расходов, подлежат оплате на основании платёжных документов (счет-фактура, накладная, платежное поручение банка и др.) по нормативному расходу. Материалы, учтённые в расценках по сборникам ФССЦ, </w:t>
      </w:r>
      <w:r>
        <w:rPr>
          <w:highlight w:val="none"/>
        </w:rPr>
      </w:r>
      <w:r>
        <w:rPr>
          <w:highlight w:val="none"/>
        </w:rPr>
      </w:r>
    </w:p>
    <w:p>
      <w:pPr>
        <w:pStyle w:val="786"/>
        <w:numPr>
          <w:ilvl w:val="0"/>
          <w:numId w:val="0"/>
        </w:numPr>
        <w:jc w:val="both"/>
        <w:rPr>
          <w:b w:val="0"/>
          <w:bCs w:val="0"/>
        </w:rPr>
      </w:pPr>
      <w:r>
        <w:rPr>
          <w:b w:val="0"/>
          <w:highlight w:val="none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786"/>
        <w:numPr>
          <w:ilvl w:val="0"/>
          <w:numId w:val="0"/>
        </w:numPr>
        <w:jc w:val="both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786"/>
        <w:numPr>
          <w:ilvl w:val="0"/>
          <w:numId w:val="0"/>
        </w:numPr>
        <w:jc w:val="both"/>
        <w:rPr>
          <w:b w:val="0"/>
          <w:bCs w:val="0"/>
          <w:highlight w:val="none"/>
        </w:rPr>
      </w:pPr>
      <w:r>
        <w:rPr>
          <w:b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786"/>
        <w:numPr>
          <w:ilvl w:val="0"/>
          <w:numId w:val="0"/>
        </w:numPr>
        <w:jc w:val="both"/>
        <w:rPr>
          <w:b w:val="0"/>
          <w:bCs w:val="0"/>
          <w:highlight w:val="none"/>
        </w:rPr>
      </w:pPr>
      <w:r>
        <w:rPr>
          <w:b w:val="0"/>
          <w:highlight w:val="white"/>
        </w:rPr>
        <w:t xml:space="preserve">подтверждать платёжными документами не требуется. Поставляемые материалы должны соответствовать спецификациям, указанным в нормативной документации, иметь соответствующие сертификаты, технические паспорта и другие документы, подтверждающие их качество.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784"/>
        <w:numPr>
          <w:ilvl w:val="0"/>
          <w:numId w:val="30"/>
        </w:numPr>
        <w:rPr>
          <w:iCs/>
        </w:rPr>
      </w:pPr>
      <w:r>
        <w:rPr>
          <w:sz w:val="24"/>
          <w:szCs w:val="24"/>
        </w:rPr>
        <w:t xml:space="preserve">Приложения</w:t>
      </w:r>
      <w:bookmarkEnd w:id="38"/>
      <w:r>
        <w:rPr>
          <w:iCs/>
        </w:rPr>
      </w:r>
      <w:r>
        <w:rPr>
          <w:iCs/>
        </w:rPr>
      </w:r>
    </w:p>
    <w:p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Приложение № 1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Требования к оформлению и составлению документации по ценообразованию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Приложение № 2</w:t>
      </w:r>
      <w:r>
        <w:rPr>
          <w:sz w:val="24"/>
          <w:szCs w:val="24"/>
        </w:rPr>
        <w:t xml:space="preserve">: Ведомости объемов работ (ВОР)</w:t>
      </w:r>
      <w:r>
        <w:rPr>
          <w:sz w:val="24"/>
          <w:szCs w:val="24"/>
        </w:rPr>
        <w:t xml:space="preserve"> 2.1.-2.11;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120" w:after="120"/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  <w:t xml:space="preserve">: </w:t>
      </w:r>
      <w:r>
        <w:rPr>
          <w:bCs/>
          <w:sz w:val="24"/>
          <w:szCs w:val="24"/>
        </w:rPr>
        <w:t xml:space="preserve">Сводный </w:t>
      </w:r>
      <w:r>
        <w:rPr>
          <w:bCs/>
          <w:sz w:val="24"/>
          <w:szCs w:val="24"/>
        </w:rPr>
        <w:t xml:space="preserve">сметный расчет с приложениями ЛСР 3.1.-3.11.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Положение </w:t>
      </w:r>
      <w:r>
        <w:rPr>
          <w:sz w:val="24"/>
          <w:szCs w:val="24"/>
        </w:rPr>
        <w:t xml:space="preserve">о допуске персонала подрядных организаций </w:t>
      </w:r>
      <w:r>
        <w:rPr>
          <w:sz w:val="24"/>
          <w:szCs w:val="24"/>
        </w:rPr>
        <w:t xml:space="preserve">к выполнению </w:t>
      </w:r>
      <w:r>
        <w:rPr>
          <w:sz w:val="24"/>
          <w:szCs w:val="24"/>
        </w:rPr>
        <w:t xml:space="preserve">работ на объектах АО «ДГК»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22.1-504-2022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тверждено </w:t>
      </w:r>
      <w:r>
        <w:rPr>
          <w:sz w:val="24"/>
          <w:szCs w:val="24"/>
        </w:rPr>
        <w:t xml:space="preserve">приказом АО «ДГК»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28.04.2022 № 244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120" w:after="12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120"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before="120"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6838" w:h="11906" w:orient="landscape"/>
      <w:pgMar w:top="1134" w:right="1134" w:bottom="851" w:left="992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Iosevka Term SS03">
    <w:panose1 w:val="020005090300000000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62"/>
      </w:rPr>
      <w:framePr w:wrap="around" w:vAnchor="text" w:hAnchor="margin" w:xAlign="center" w:y="1"/>
    </w:pPr>
    <w:r>
      <w:rPr>
        <w:rStyle w:val="962"/>
      </w:rPr>
      <w:fldChar w:fldCharType="begin"/>
    </w:r>
    <w:r>
      <w:rPr>
        <w:rStyle w:val="962"/>
      </w:rPr>
      <w:instrText xml:space="preserve">PAGE  </w:instrText>
    </w:r>
    <w:r>
      <w:rPr>
        <w:rStyle w:val="962"/>
      </w:rPr>
      <w:fldChar w:fldCharType="separate"/>
    </w:r>
    <w:r>
      <w:rPr>
        <w:rStyle w:val="962"/>
      </w:rPr>
      <w:t xml:space="preserve">2</w:t>
    </w:r>
    <w:r>
      <w:rPr>
        <w:rStyle w:val="962"/>
      </w:rPr>
      <w:fldChar w:fldCharType="end"/>
    </w:r>
    <w:r>
      <w:rPr>
        <w:rStyle w:val="962"/>
      </w:rPr>
    </w:r>
    <w:r>
      <w:rPr>
        <w:rStyle w:val="962"/>
      </w:rPr>
    </w:r>
  </w:p>
  <w:p>
    <w:pPr>
      <w:pStyle w:val="95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styleLink w:val="1023"/>
    <w:lvl w:ilvl="0">
      <w:start w:val="1"/>
      <w:numFmt w:val="decimal"/>
      <w:pStyle w:val="102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4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2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4"/>
      <w:numFmt w:val="bullet"/>
      <w:pStyle w:val="101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0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94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 w:val="false"/>
      <w:suff w:val="tab"/>
      <w:lvlText w:val="%2."/>
      <w:lvlJc w:val="left"/>
      <w:pPr>
        <w:ind w:left="1000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styleLink w:val="1019"/>
    <w:lvl w:ilvl="0">
      <w:start w:val="3"/>
      <w:numFmt w:val="decimal"/>
      <w:pStyle w:val="101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784"/>
      <w:isLgl w:val="false"/>
      <w:suff w:val="tab"/>
      <w:lvlText w:val="%1."/>
      <w:lvlJc w:val="left"/>
      <w:pPr>
        <w:ind w:left="7590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8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  <w:u w:val="none"/>
      </w:rPr>
    </w:lvl>
    <w:lvl w:ilvl="2">
      <w:start w:val="1"/>
      <w:numFmt w:val="decimal"/>
      <w:pStyle w:val="78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57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9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6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3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98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24"/>
  </w:num>
  <w:num w:numId="5">
    <w:abstractNumId w:val="1"/>
  </w:num>
  <w:num w:numId="6">
    <w:abstractNumId w:val="6"/>
  </w:num>
  <w:num w:numId="7">
    <w:abstractNumId w:val="5"/>
  </w:num>
  <w:num w:numId="8">
    <w:abstractNumId w:val="17"/>
  </w:num>
  <w:num w:numId="9">
    <w:abstractNumId w:val="15"/>
  </w:num>
  <w:num w:numId="10">
    <w:abstractNumId w:val="0"/>
  </w:num>
  <w:num w:numId="11">
    <w:abstractNumId w:val="16"/>
  </w:num>
  <w:num w:numId="12">
    <w:abstractNumId w:val="29"/>
  </w:num>
  <w:num w:numId="13">
    <w:abstractNumId w:val="13"/>
  </w:num>
  <w:num w:numId="14">
    <w:abstractNumId w:val="2"/>
  </w:num>
  <w:num w:numId="15">
    <w:abstractNumId w:val="25"/>
  </w:num>
  <w:num w:numId="16">
    <w:abstractNumId w:val="7"/>
  </w:num>
  <w:num w:numId="17">
    <w:abstractNumId w:val="19"/>
  </w:num>
  <w:num w:numId="18">
    <w:abstractNumId w:val="8"/>
  </w:num>
  <w:num w:numId="19">
    <w:abstractNumId w:val="3"/>
  </w:num>
  <w:num w:numId="20">
    <w:abstractNumId w:val="12"/>
  </w:num>
  <w:num w:numId="21">
    <w:abstractNumId w:val="11"/>
  </w:num>
  <w:num w:numId="22">
    <w:abstractNumId w:val="23"/>
  </w:num>
  <w:num w:numId="23">
    <w:abstractNumId w:val="21"/>
  </w:num>
  <w:num w:numId="24">
    <w:abstractNumId w:val="14"/>
  </w:num>
  <w:num w:numId="25">
    <w:abstractNumId w:val="26"/>
  </w:num>
  <w:num w:numId="26">
    <w:abstractNumId w:val="28"/>
  </w:num>
  <w:num w:numId="27">
    <w:abstractNumId w:val="20"/>
  </w:num>
  <w:num w:numId="28">
    <w:abstractNumId w:val="27"/>
  </w:num>
  <w:num w:numId="29">
    <w:abstractNumId w:val="4"/>
  </w:num>
  <w:num w:numId="30">
    <w:abstractNumId w:val="30"/>
  </w:num>
  <w:num w:numId="31">
    <w:abstractNumId w:val="18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Title Char"/>
    <w:basedOn w:val="793"/>
    <w:link w:val="805"/>
    <w:uiPriority w:val="10"/>
    <w:rPr>
      <w:sz w:val="48"/>
      <w:szCs w:val="48"/>
    </w:rPr>
  </w:style>
  <w:style w:type="character" w:styleId="763">
    <w:name w:val="Caption Char"/>
    <w:basedOn w:val="990"/>
    <w:link w:val="953"/>
    <w:uiPriority w:val="99"/>
  </w:style>
  <w:style w:type="table" w:styleId="764">
    <w:name w:val="Plain Table 1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4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3">
    <w:name w:val="Grid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83" w:default="1">
    <w:name w:val="Normal"/>
    <w:qFormat/>
    <w:rPr>
      <w:sz w:val="28"/>
      <w:szCs w:val="28"/>
    </w:rPr>
  </w:style>
  <w:style w:type="paragraph" w:styleId="784">
    <w:name w:val="Heading 1"/>
    <w:basedOn w:val="786"/>
    <w:next w:val="783"/>
    <w:link w:val="982"/>
    <w:qFormat/>
    <w:pPr>
      <w:numPr>
        <w:ilvl w:val="0"/>
      </w:numPr>
      <w:ind w:left="5038"/>
      <w:outlineLvl w:val="0"/>
    </w:pPr>
    <w:rPr>
      <w:sz w:val="28"/>
      <w:szCs w:val="28"/>
    </w:rPr>
  </w:style>
  <w:style w:type="paragraph" w:styleId="785">
    <w:name w:val="Heading 2"/>
    <w:basedOn w:val="787"/>
    <w:next w:val="783"/>
    <w:link w:val="984"/>
    <w:qFormat/>
    <w:pPr>
      <w:outlineLvl w:val="1"/>
    </w:pPr>
  </w:style>
  <w:style w:type="paragraph" w:styleId="786">
    <w:name w:val="Heading 3"/>
    <w:basedOn w:val="783"/>
    <w:next w:val="783"/>
    <w:link w:val="985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87">
    <w:name w:val="Heading 4"/>
    <w:basedOn w:val="786"/>
    <w:next w:val="783"/>
    <w:link w:val="986"/>
    <w:qFormat/>
    <w:pPr>
      <w:numPr>
        <w:ilvl w:val="1"/>
      </w:numPr>
      <w:outlineLvl w:val="3"/>
    </w:pPr>
    <w:rPr>
      <w:bCs/>
    </w:rPr>
  </w:style>
  <w:style w:type="paragraph" w:styleId="788">
    <w:name w:val="Heading 5"/>
    <w:basedOn w:val="783"/>
    <w:next w:val="783"/>
    <w:link w:val="98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89">
    <w:name w:val="Heading 6"/>
    <w:basedOn w:val="783"/>
    <w:next w:val="783"/>
    <w:link w:val="97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0">
    <w:name w:val="Heading 7"/>
    <w:basedOn w:val="783"/>
    <w:next w:val="783"/>
    <w:link w:val="98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1">
    <w:name w:val="Heading 8"/>
    <w:basedOn w:val="783"/>
    <w:next w:val="783"/>
    <w:link w:val="98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92">
    <w:name w:val="Heading 9"/>
    <w:basedOn w:val="783"/>
    <w:next w:val="783"/>
    <w:link w:val="98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93" w:default="1">
    <w:name w:val="Default Paragraph Font"/>
    <w:uiPriority w:val="1"/>
    <w:semiHidden/>
    <w:unhideWhenUsed/>
  </w:style>
  <w:style w:type="table" w:styleId="7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5" w:default="1">
    <w:name w:val="No List"/>
    <w:uiPriority w:val="99"/>
    <w:semiHidden/>
    <w:unhideWhenUsed/>
  </w:style>
  <w:style w:type="character" w:styleId="796" w:customStyle="1">
    <w:name w:val="Heading 1 Char"/>
    <w:basedOn w:val="793"/>
    <w:uiPriority w:val="9"/>
    <w:rPr>
      <w:rFonts w:ascii="Arial" w:hAnsi="Arial" w:eastAsia="Arial" w:cs="Arial"/>
      <w:sz w:val="40"/>
      <w:szCs w:val="40"/>
    </w:rPr>
  </w:style>
  <w:style w:type="character" w:styleId="797" w:customStyle="1">
    <w:name w:val="Heading 2 Char"/>
    <w:basedOn w:val="793"/>
    <w:uiPriority w:val="9"/>
    <w:rPr>
      <w:rFonts w:ascii="Arial" w:hAnsi="Arial" w:eastAsia="Arial" w:cs="Arial"/>
      <w:sz w:val="34"/>
    </w:rPr>
  </w:style>
  <w:style w:type="character" w:styleId="798" w:customStyle="1">
    <w:name w:val="Heading 3 Char"/>
    <w:basedOn w:val="793"/>
    <w:uiPriority w:val="9"/>
    <w:rPr>
      <w:rFonts w:ascii="Arial" w:hAnsi="Arial" w:eastAsia="Arial" w:cs="Arial"/>
      <w:sz w:val="30"/>
      <w:szCs w:val="30"/>
    </w:rPr>
  </w:style>
  <w:style w:type="character" w:styleId="799" w:customStyle="1">
    <w:name w:val="Heading 4 Char"/>
    <w:basedOn w:val="793"/>
    <w:uiPriority w:val="9"/>
    <w:rPr>
      <w:rFonts w:ascii="Arial" w:hAnsi="Arial" w:eastAsia="Arial" w:cs="Arial"/>
      <w:b/>
      <w:bCs/>
      <w:sz w:val="26"/>
      <w:szCs w:val="26"/>
    </w:rPr>
  </w:style>
  <w:style w:type="character" w:styleId="800" w:customStyle="1">
    <w:name w:val="Heading 5 Char"/>
    <w:basedOn w:val="793"/>
    <w:uiPriority w:val="9"/>
    <w:rPr>
      <w:rFonts w:ascii="Arial" w:hAnsi="Arial" w:eastAsia="Arial" w:cs="Arial"/>
      <w:b/>
      <w:bCs/>
      <w:sz w:val="24"/>
      <w:szCs w:val="24"/>
    </w:rPr>
  </w:style>
  <w:style w:type="character" w:styleId="801" w:customStyle="1">
    <w:name w:val="Heading 6 Char"/>
    <w:basedOn w:val="793"/>
    <w:uiPriority w:val="9"/>
    <w:rPr>
      <w:rFonts w:ascii="Arial" w:hAnsi="Arial" w:eastAsia="Arial" w:cs="Arial"/>
      <w:b/>
      <w:bCs/>
      <w:sz w:val="22"/>
      <w:szCs w:val="22"/>
    </w:rPr>
  </w:style>
  <w:style w:type="character" w:styleId="802" w:customStyle="1">
    <w:name w:val="Heading 7 Char"/>
    <w:basedOn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3" w:customStyle="1">
    <w:name w:val="Heading 8 Char"/>
    <w:basedOn w:val="793"/>
    <w:uiPriority w:val="9"/>
    <w:rPr>
      <w:rFonts w:ascii="Arial" w:hAnsi="Arial" w:eastAsia="Arial" w:cs="Arial"/>
      <w:i/>
      <w:iCs/>
      <w:sz w:val="22"/>
      <w:szCs w:val="22"/>
    </w:rPr>
  </w:style>
  <w:style w:type="character" w:styleId="804" w:customStyle="1">
    <w:name w:val="Heading 9 Char"/>
    <w:basedOn w:val="793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Title"/>
    <w:basedOn w:val="783"/>
    <w:next w:val="783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6" w:customStyle="1">
    <w:name w:val="Заголовок Знак"/>
    <w:basedOn w:val="793"/>
    <w:link w:val="805"/>
    <w:uiPriority w:val="10"/>
    <w:rPr>
      <w:sz w:val="48"/>
      <w:szCs w:val="48"/>
    </w:rPr>
  </w:style>
  <w:style w:type="character" w:styleId="807" w:customStyle="1">
    <w:name w:val="Subtitle Char"/>
    <w:basedOn w:val="793"/>
    <w:uiPriority w:val="11"/>
    <w:rPr>
      <w:sz w:val="24"/>
      <w:szCs w:val="24"/>
    </w:rPr>
  </w:style>
  <w:style w:type="character" w:styleId="808" w:customStyle="1">
    <w:name w:val="Quote Char"/>
    <w:uiPriority w:val="29"/>
    <w:rPr>
      <w:i/>
    </w:rPr>
  </w:style>
  <w:style w:type="character" w:styleId="809" w:customStyle="1">
    <w:name w:val="Intense Quote Char"/>
    <w:uiPriority w:val="30"/>
    <w:rPr>
      <w:i/>
    </w:rPr>
  </w:style>
  <w:style w:type="character" w:styleId="810" w:customStyle="1">
    <w:name w:val="Header Char"/>
    <w:basedOn w:val="793"/>
    <w:uiPriority w:val="99"/>
  </w:style>
  <w:style w:type="character" w:styleId="811" w:customStyle="1">
    <w:name w:val="Footer Char"/>
    <w:basedOn w:val="793"/>
    <w:uiPriority w:val="99"/>
  </w:style>
  <w:style w:type="character" w:styleId="812" w:customStyle="1">
    <w:name w:val="Нижний колонтитул Знак"/>
    <w:link w:val="953"/>
    <w:uiPriority w:val="99"/>
  </w:style>
  <w:style w:type="table" w:styleId="813" w:customStyle="1">
    <w:name w:val="Table Grid Light"/>
    <w:basedOn w:val="79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4" w:customStyle="1">
    <w:name w:val="Таблица простая 11"/>
    <w:basedOn w:val="79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 w:customStyle="1">
    <w:name w:val="Таблица простая 21"/>
    <w:basedOn w:val="79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 w:customStyle="1">
    <w:name w:val="Таблица простая 31"/>
    <w:basedOn w:val="7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7" w:customStyle="1">
    <w:name w:val="Таблица простая 41"/>
    <w:basedOn w:val="7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Таблица простая 51"/>
    <w:basedOn w:val="79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9" w:customStyle="1">
    <w:name w:val="Таблица-сетка 1 светлая1"/>
    <w:basedOn w:val="79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1"/>
    <w:basedOn w:val="79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2"/>
    <w:basedOn w:val="79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3"/>
    <w:basedOn w:val="79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4"/>
    <w:basedOn w:val="79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5"/>
    <w:basedOn w:val="79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6"/>
    <w:basedOn w:val="79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Таблица-сетка 21"/>
    <w:basedOn w:val="79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1"/>
    <w:basedOn w:val="79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2"/>
    <w:basedOn w:val="79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3"/>
    <w:basedOn w:val="79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4"/>
    <w:basedOn w:val="79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5"/>
    <w:basedOn w:val="79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6"/>
    <w:basedOn w:val="79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Таблица-сетка 31"/>
    <w:basedOn w:val="79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1"/>
    <w:basedOn w:val="79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2"/>
    <w:basedOn w:val="79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3"/>
    <w:basedOn w:val="79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4"/>
    <w:basedOn w:val="79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5"/>
    <w:basedOn w:val="79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6"/>
    <w:basedOn w:val="79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41"/>
    <w:basedOn w:val="79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1" w:customStyle="1">
    <w:name w:val="Grid Table 4 - Accent 1"/>
    <w:basedOn w:val="79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2" w:customStyle="1">
    <w:name w:val="Grid Table 4 - Accent 2"/>
    <w:basedOn w:val="79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3" w:customStyle="1">
    <w:name w:val="Grid Table 4 - Accent 3"/>
    <w:basedOn w:val="79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4" w:customStyle="1">
    <w:name w:val="Grid Table 4 - Accent 4"/>
    <w:basedOn w:val="79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5" w:customStyle="1">
    <w:name w:val="Grid Table 4 - Accent 5"/>
    <w:basedOn w:val="79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46" w:customStyle="1">
    <w:name w:val="Grid Table 4 - Accent 6"/>
    <w:basedOn w:val="79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7" w:customStyle="1">
    <w:name w:val="Таблица-сетка 5 темная1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1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2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3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4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5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6"/>
    <w:basedOn w:val="79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4" w:customStyle="1">
    <w:name w:val="Таблица-сетка 6 цветная1"/>
    <w:basedOn w:val="79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5" w:customStyle="1">
    <w:name w:val="Grid Table 6 Colorful - Accent 1"/>
    <w:basedOn w:val="79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56" w:customStyle="1">
    <w:name w:val="Grid Table 6 Colorful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7" w:customStyle="1">
    <w:name w:val="Grid Table 6 Colorful - Accent 3"/>
    <w:basedOn w:val="79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8" w:customStyle="1">
    <w:name w:val="Grid Table 6 Colorful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9" w:customStyle="1">
    <w:name w:val="Grid Table 6 Colorful - Accent 5"/>
    <w:basedOn w:val="79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0" w:customStyle="1">
    <w:name w:val="Grid Table 6 Colorful - Accent 6"/>
    <w:basedOn w:val="79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1" w:customStyle="1">
    <w:name w:val="Таблица-сетка 7 цветная1"/>
    <w:basedOn w:val="79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Grid Table 7 Colorful - Accent 1"/>
    <w:basedOn w:val="79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2"/>
    <w:basedOn w:val="79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3"/>
    <w:basedOn w:val="79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4"/>
    <w:basedOn w:val="79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5"/>
    <w:basedOn w:val="79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6"/>
    <w:basedOn w:val="79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Список-таблица 1 светлая1"/>
    <w:basedOn w:val="79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1"/>
    <w:basedOn w:val="794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2"/>
    <w:basedOn w:val="79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3"/>
    <w:basedOn w:val="79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4"/>
    <w:basedOn w:val="79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5"/>
    <w:basedOn w:val="794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6"/>
    <w:basedOn w:val="79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Список-таблица 21"/>
    <w:basedOn w:val="79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1"/>
    <w:basedOn w:val="79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2"/>
    <w:basedOn w:val="79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3"/>
    <w:basedOn w:val="79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4"/>
    <w:basedOn w:val="79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5"/>
    <w:basedOn w:val="79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6"/>
    <w:basedOn w:val="79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2" w:customStyle="1">
    <w:name w:val="Список-таблица 31"/>
    <w:basedOn w:val="79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1"/>
    <w:basedOn w:val="79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3"/>
    <w:basedOn w:val="79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5"/>
    <w:basedOn w:val="79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6"/>
    <w:basedOn w:val="79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Список-таблица 41"/>
    <w:basedOn w:val="79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1"/>
    <w:basedOn w:val="79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2"/>
    <w:basedOn w:val="79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3"/>
    <w:basedOn w:val="79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4"/>
    <w:basedOn w:val="79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5"/>
    <w:basedOn w:val="79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6"/>
    <w:basedOn w:val="79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5 темная1"/>
    <w:basedOn w:val="79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1"/>
    <w:basedOn w:val="79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3"/>
    <w:basedOn w:val="79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5"/>
    <w:basedOn w:val="79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6"/>
    <w:basedOn w:val="79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Список-таблица 6 цветная1"/>
    <w:basedOn w:val="79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4" w:customStyle="1">
    <w:name w:val="List Table 6 Colorful - Accent 1"/>
    <w:basedOn w:val="79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05" w:customStyle="1">
    <w:name w:val="List Table 6 Colorful - Accent 2"/>
    <w:basedOn w:val="79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6" w:customStyle="1">
    <w:name w:val="List Table 6 Colorful - Accent 3"/>
    <w:basedOn w:val="79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7" w:customStyle="1">
    <w:name w:val="List Table 6 Colorful - Accent 4"/>
    <w:basedOn w:val="79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8" w:customStyle="1">
    <w:name w:val="List Table 6 Colorful - Accent 5"/>
    <w:basedOn w:val="79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09" w:customStyle="1">
    <w:name w:val="List Table 6 Colorful - Accent 6"/>
    <w:basedOn w:val="79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0" w:customStyle="1">
    <w:name w:val="Список-таблица 7 цветная1"/>
    <w:basedOn w:val="79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st Table 7 Colorful - Accent 1"/>
    <w:basedOn w:val="79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2"/>
    <w:basedOn w:val="79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3"/>
    <w:basedOn w:val="79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4"/>
    <w:basedOn w:val="79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5"/>
    <w:basedOn w:val="79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6"/>
    <w:basedOn w:val="79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ned - Accent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8" w:customStyle="1">
    <w:name w:val="Lined - Accent 1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9" w:customStyle="1">
    <w:name w:val="Lined - Accent 2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0" w:customStyle="1">
    <w:name w:val="Lined - Accent 3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1" w:customStyle="1">
    <w:name w:val="Lined - Accent 4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2" w:customStyle="1">
    <w:name w:val="Lined - Accent 5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3" w:customStyle="1">
    <w:name w:val="Lined - Accent 6"/>
    <w:basedOn w:val="79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4" w:customStyle="1">
    <w:name w:val="Bordered &amp; Lined - Accent"/>
    <w:basedOn w:val="79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Bordered &amp; Lined - Accent 1"/>
    <w:basedOn w:val="79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6" w:customStyle="1">
    <w:name w:val="Bordered &amp; Lined - Accent 2"/>
    <w:basedOn w:val="79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7" w:customStyle="1">
    <w:name w:val="Bordered &amp; Lined - Accent 3"/>
    <w:basedOn w:val="79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8" w:customStyle="1">
    <w:name w:val="Bordered &amp; Lined - Accent 4"/>
    <w:basedOn w:val="79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9" w:customStyle="1">
    <w:name w:val="Bordered &amp; Lined - Accent 5"/>
    <w:basedOn w:val="79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0" w:customStyle="1">
    <w:name w:val="Bordered &amp; Lined - Accent 6"/>
    <w:basedOn w:val="79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1" w:customStyle="1">
    <w:name w:val="Bordered"/>
    <w:basedOn w:val="79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2" w:customStyle="1">
    <w:name w:val="Bordered - Accent 1"/>
    <w:basedOn w:val="79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33" w:customStyle="1">
    <w:name w:val="Bordered - Accent 2"/>
    <w:basedOn w:val="79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4" w:customStyle="1">
    <w:name w:val="Bordered - Accent 3"/>
    <w:basedOn w:val="79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5" w:customStyle="1">
    <w:name w:val="Bordered - Accent 4"/>
    <w:basedOn w:val="79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6" w:customStyle="1">
    <w:name w:val="Bordered - Accent 5"/>
    <w:basedOn w:val="79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37" w:customStyle="1">
    <w:name w:val="Bordered - Accent 6"/>
    <w:basedOn w:val="79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8" w:customStyle="1">
    <w:name w:val="Footnote Text Char"/>
    <w:uiPriority w:val="99"/>
    <w:rPr>
      <w:sz w:val="18"/>
    </w:rPr>
  </w:style>
  <w:style w:type="character" w:styleId="939" w:customStyle="1">
    <w:name w:val="Endnote Text Char"/>
    <w:uiPriority w:val="99"/>
    <w:rPr>
      <w:sz w:val="20"/>
    </w:rPr>
  </w:style>
  <w:style w:type="paragraph" w:styleId="940">
    <w:name w:val="table of figures"/>
    <w:basedOn w:val="783"/>
    <w:next w:val="783"/>
    <w:uiPriority w:val="99"/>
    <w:unhideWhenUsed/>
  </w:style>
  <w:style w:type="paragraph" w:styleId="941" w:customStyle="1">
    <w:name w:val="Название раздела инструкции"/>
    <w:basedOn w:val="783"/>
    <w:pPr>
      <w:jc w:val="center"/>
    </w:pPr>
    <w:rPr>
      <w:b/>
    </w:rPr>
  </w:style>
  <w:style w:type="paragraph" w:styleId="942" w:customStyle="1">
    <w:name w:val="Раздел положения"/>
    <w:basedOn w:val="78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3" w:customStyle="1">
    <w:name w:val="Подраздел раздела положения"/>
    <w:basedOn w:val="783"/>
    <w:pPr>
      <w:numPr>
        <w:ilvl w:val="1"/>
        <w:numId w:val="1"/>
      </w:numPr>
      <w:jc w:val="both"/>
      <w:spacing w:before="80" w:after="80"/>
    </w:pPr>
  </w:style>
  <w:style w:type="paragraph" w:styleId="944">
    <w:name w:val="footnote text"/>
    <w:basedOn w:val="783"/>
    <w:link w:val="1018"/>
    <w:uiPriority w:val="99"/>
    <w:rPr>
      <w:sz w:val="20"/>
      <w:szCs w:val="20"/>
    </w:rPr>
  </w:style>
  <w:style w:type="character" w:styleId="945">
    <w:name w:val="footnote reference"/>
    <w:rPr>
      <w:vertAlign w:val="superscript"/>
    </w:rPr>
  </w:style>
  <w:style w:type="paragraph" w:styleId="946" w:customStyle="1">
    <w:name w:val="Шапка 1"/>
    <w:basedOn w:val="78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7" w:customStyle="1">
    <w:name w:val="Шапка 2"/>
    <w:basedOn w:val="78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8" w:customStyle="1">
    <w:name w:val="Шапка 3"/>
    <w:basedOn w:val="78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49" w:customStyle="1">
    <w:name w:val="Название1"/>
    <w:basedOn w:val="783"/>
    <w:link w:val="991"/>
    <w:uiPriority w:val="10"/>
    <w:qFormat/>
    <w:pPr>
      <w:jc w:val="center"/>
    </w:pPr>
    <w:rPr>
      <w:szCs w:val="20"/>
    </w:rPr>
  </w:style>
  <w:style w:type="paragraph" w:styleId="950">
    <w:name w:val="Header"/>
    <w:basedOn w:val="783"/>
    <w:link w:val="1035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1">
    <w:name w:val="Body Text Indent"/>
    <w:basedOn w:val="783"/>
    <w:pPr>
      <w:ind w:left="360"/>
    </w:pPr>
    <w:rPr>
      <w:sz w:val="24"/>
      <w:szCs w:val="24"/>
    </w:rPr>
  </w:style>
  <w:style w:type="table" w:styleId="952">
    <w:name w:val="Table Grid"/>
    <w:basedOn w:val="79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3">
    <w:name w:val="Footer"/>
    <w:basedOn w:val="783"/>
    <w:link w:val="812"/>
    <w:pPr>
      <w:tabs>
        <w:tab w:val="center" w:pos="4677" w:leader="none"/>
        <w:tab w:val="right" w:pos="9355" w:leader="none"/>
      </w:tabs>
    </w:pPr>
  </w:style>
  <w:style w:type="paragraph" w:styleId="954">
    <w:name w:val="Body Text"/>
    <w:basedOn w:val="783"/>
    <w:link w:val="1021"/>
    <w:pPr>
      <w:spacing w:after="120"/>
    </w:pPr>
  </w:style>
  <w:style w:type="paragraph" w:styleId="955">
    <w:name w:val="Body Text Indent 2"/>
    <w:basedOn w:val="783"/>
    <w:pPr>
      <w:ind w:left="283"/>
      <w:spacing w:after="120" w:line="480" w:lineRule="auto"/>
    </w:pPr>
  </w:style>
  <w:style w:type="paragraph" w:styleId="956">
    <w:name w:val="Body Text 3"/>
    <w:basedOn w:val="783"/>
    <w:pPr>
      <w:spacing w:after="120"/>
    </w:pPr>
    <w:rPr>
      <w:sz w:val="16"/>
      <w:szCs w:val="16"/>
    </w:rPr>
  </w:style>
  <w:style w:type="paragraph" w:styleId="957">
    <w:name w:val="Body Text Indent 3"/>
    <w:basedOn w:val="783"/>
    <w:link w:val="1052"/>
    <w:pPr>
      <w:ind w:left="283"/>
      <w:spacing w:after="120"/>
    </w:pPr>
    <w:rPr>
      <w:sz w:val="16"/>
      <w:szCs w:val="16"/>
    </w:rPr>
  </w:style>
  <w:style w:type="paragraph" w:styleId="958">
    <w:name w:val="Body Text 2"/>
    <w:basedOn w:val="783"/>
    <w:pPr>
      <w:spacing w:after="120" w:line="480" w:lineRule="auto"/>
    </w:pPr>
  </w:style>
  <w:style w:type="paragraph" w:styleId="959">
    <w:name w:val="Block Text"/>
    <w:basedOn w:val="783"/>
    <w:pPr>
      <w:ind w:left="-567" w:right="-766"/>
      <w:jc w:val="center"/>
    </w:pPr>
    <w:rPr>
      <w:b/>
      <w:bCs/>
      <w:sz w:val="24"/>
      <w:szCs w:val="20"/>
    </w:rPr>
  </w:style>
  <w:style w:type="paragraph" w:styleId="960" w:customStyle="1">
    <w:name w:val="Подпункт"/>
    <w:basedOn w:val="783"/>
    <w:link w:val="101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1" w:customStyle="1">
    <w:name w:val="Пункт2"/>
    <w:basedOn w:val="783"/>
    <w:link w:val="104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2">
    <w:name w:val="page number"/>
    <w:basedOn w:val="793"/>
  </w:style>
  <w:style w:type="paragraph" w:styleId="963">
    <w:name w:val="toc 1"/>
    <w:basedOn w:val="783"/>
    <w:next w:val="78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64">
    <w:name w:val="toc 3"/>
    <w:basedOn w:val="783"/>
    <w:next w:val="783"/>
    <w:uiPriority w:val="39"/>
    <w:pPr>
      <w:ind w:left="280" w:firstLine="287"/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65">
    <w:name w:val="Hyperlink"/>
    <w:uiPriority w:val="99"/>
    <w:rPr>
      <w:color w:val="0000ff"/>
      <w:u w:val="single"/>
    </w:rPr>
  </w:style>
  <w:style w:type="paragraph" w:styleId="966" w:customStyle="1">
    <w:name w:val="Раздел регламента"/>
    <w:basedOn w:val="783"/>
  </w:style>
  <w:style w:type="paragraph" w:styleId="967" w:customStyle="1">
    <w:name w:val="Приложение к регламенту"/>
    <w:basedOn w:val="783"/>
    <w:pPr>
      <w:jc w:val="right"/>
    </w:pPr>
  </w:style>
  <w:style w:type="paragraph" w:styleId="968">
    <w:name w:val="toc 2"/>
    <w:basedOn w:val="783"/>
    <w:next w:val="78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9">
    <w:name w:val="Balloon Text"/>
    <w:basedOn w:val="783"/>
    <w:semiHidden/>
    <w:rPr>
      <w:rFonts w:ascii="Tahoma" w:hAnsi="Tahoma" w:cs="Tahoma"/>
      <w:sz w:val="16"/>
      <w:szCs w:val="16"/>
    </w:rPr>
  </w:style>
  <w:style w:type="character" w:styleId="970">
    <w:name w:val="annotation reference"/>
    <w:uiPriority w:val="99"/>
    <w:semiHidden/>
    <w:rPr>
      <w:sz w:val="16"/>
      <w:szCs w:val="16"/>
    </w:rPr>
  </w:style>
  <w:style w:type="paragraph" w:styleId="971">
    <w:name w:val="annotation text"/>
    <w:basedOn w:val="783"/>
    <w:link w:val="1036"/>
    <w:semiHidden/>
    <w:rPr>
      <w:sz w:val="20"/>
      <w:szCs w:val="20"/>
    </w:rPr>
  </w:style>
  <w:style w:type="paragraph" w:styleId="972">
    <w:name w:val="annotation subject"/>
    <w:basedOn w:val="971"/>
    <w:next w:val="971"/>
    <w:semiHidden/>
    <w:rPr>
      <w:b/>
      <w:bCs/>
    </w:rPr>
  </w:style>
  <w:style w:type="paragraph" w:styleId="973" w:customStyle="1">
    <w:name w:val="Обычный (веб)1"/>
    <w:basedOn w:val="78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4">
    <w:name w:val="toc 9"/>
    <w:basedOn w:val="783"/>
    <w:next w:val="78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5">
    <w:name w:val="toc 5"/>
    <w:basedOn w:val="783"/>
    <w:next w:val="78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6">
    <w:name w:val="toc 4"/>
    <w:basedOn w:val="783"/>
    <w:next w:val="783"/>
    <w:uiPriority w:val="39"/>
    <w:pPr>
      <w:ind w:left="560"/>
    </w:pPr>
    <w:rPr>
      <w:rFonts w:cstheme="minorHAnsi"/>
      <w:sz w:val="20"/>
      <w:szCs w:val="20"/>
    </w:rPr>
  </w:style>
  <w:style w:type="paragraph" w:styleId="977" w:customStyle="1">
    <w:name w:val="Раздел положения 2"/>
    <w:basedOn w:val="783"/>
    <w:pPr>
      <w:jc w:val="both"/>
      <w:pageBreakBefore/>
      <w:outlineLvl w:val="0"/>
    </w:pPr>
    <w:rPr>
      <w:b/>
    </w:rPr>
  </w:style>
  <w:style w:type="character" w:styleId="978">
    <w:name w:val="Strong"/>
    <w:qFormat/>
    <w:rPr>
      <w:b/>
      <w:bCs/>
    </w:rPr>
  </w:style>
  <w:style w:type="character" w:styleId="979" w:customStyle="1">
    <w:name w:val="Заголовок 6 Знак"/>
    <w:link w:val="789"/>
    <w:uiPriority w:val="9"/>
    <w:rPr>
      <w:rFonts w:ascii="Cambria" w:hAnsi="Cambria"/>
      <w:i/>
      <w:iCs/>
      <w:color w:val="243f60"/>
    </w:rPr>
  </w:style>
  <w:style w:type="character" w:styleId="980" w:customStyle="1">
    <w:name w:val="Заголовок 7 Знак"/>
    <w:link w:val="790"/>
    <w:uiPriority w:val="9"/>
    <w:rPr>
      <w:rFonts w:ascii="Cambria" w:hAnsi="Cambria"/>
      <w:i/>
      <w:iCs/>
      <w:color w:val="404040"/>
    </w:rPr>
  </w:style>
  <w:style w:type="character" w:styleId="981" w:customStyle="1">
    <w:name w:val="Заголовок 8 Знак"/>
    <w:link w:val="791"/>
    <w:uiPriority w:val="9"/>
    <w:rPr>
      <w:rFonts w:ascii="Cambria" w:hAnsi="Cambria"/>
      <w:color w:val="4f81bd"/>
    </w:rPr>
  </w:style>
  <w:style w:type="character" w:styleId="982" w:customStyle="1">
    <w:name w:val="Заголовок 1 Знак"/>
    <w:link w:val="784"/>
    <w:rPr>
      <w:rFonts w:eastAsia="Calibri"/>
      <w:b/>
      <w:sz w:val="28"/>
      <w:szCs w:val="28"/>
    </w:rPr>
  </w:style>
  <w:style w:type="paragraph" w:styleId="983" w:customStyle="1">
    <w:name w:val="Знак Знак Знак Знак Знак Знак Знак Знак Знак"/>
    <w:basedOn w:val="78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4" w:customStyle="1">
    <w:name w:val="Заголовок 2 Знак"/>
    <w:link w:val="785"/>
    <w:rPr>
      <w:rFonts w:eastAsia="Calibri"/>
      <w:b/>
      <w:bCs/>
      <w:sz w:val="24"/>
      <w:szCs w:val="24"/>
    </w:rPr>
  </w:style>
  <w:style w:type="character" w:styleId="985" w:customStyle="1">
    <w:name w:val="Заголовок 3 Знак"/>
    <w:link w:val="786"/>
    <w:rPr>
      <w:rFonts w:eastAsia="Calibri"/>
      <w:b/>
      <w:sz w:val="24"/>
      <w:szCs w:val="24"/>
    </w:rPr>
  </w:style>
  <w:style w:type="character" w:styleId="986" w:customStyle="1">
    <w:name w:val="Заголовок 4 Знак"/>
    <w:link w:val="787"/>
    <w:rPr>
      <w:rFonts w:eastAsia="Calibri"/>
      <w:b/>
      <w:bCs/>
      <w:sz w:val="24"/>
      <w:szCs w:val="24"/>
    </w:rPr>
  </w:style>
  <w:style w:type="character" w:styleId="987" w:customStyle="1">
    <w:name w:val="Заголовок 5 Знак"/>
    <w:link w:val="788"/>
    <w:uiPriority w:val="9"/>
    <w:rPr>
      <w:b/>
      <w:bCs/>
      <w:i/>
      <w:iCs/>
      <w:sz w:val="26"/>
      <w:szCs w:val="26"/>
    </w:rPr>
  </w:style>
  <w:style w:type="character" w:styleId="988" w:customStyle="1">
    <w:name w:val="Заголовок 9 Знак"/>
    <w:link w:val="792"/>
    <w:uiPriority w:val="9"/>
    <w:rPr>
      <w:rFonts w:ascii="Arial" w:hAnsi="Arial" w:cs="Arial"/>
      <w:sz w:val="22"/>
      <w:szCs w:val="22"/>
    </w:rPr>
  </w:style>
  <w:style w:type="paragraph" w:styleId="989">
    <w:name w:val="No Spacing"/>
    <w:basedOn w:val="78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0">
    <w:name w:val="Caption"/>
    <w:basedOn w:val="783"/>
    <w:next w:val="783"/>
    <w:link w:val="76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1" w:customStyle="1">
    <w:name w:val="Название Знак"/>
    <w:link w:val="949"/>
    <w:uiPriority w:val="10"/>
    <w:rPr>
      <w:sz w:val="28"/>
    </w:rPr>
  </w:style>
  <w:style w:type="paragraph" w:styleId="992">
    <w:name w:val="Subtitle"/>
    <w:basedOn w:val="783"/>
    <w:next w:val="783"/>
    <w:link w:val="99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3" w:customStyle="1">
    <w:name w:val="Подзаголовок Знак"/>
    <w:link w:val="99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4">
    <w:name w:val="Emphasis"/>
    <w:uiPriority w:val="20"/>
    <w:qFormat/>
    <w:rPr>
      <w:i/>
      <w:iCs/>
    </w:rPr>
  </w:style>
  <w:style w:type="paragraph" w:styleId="995">
    <w:name w:val="List Paragraph"/>
    <w:basedOn w:val="783"/>
    <w:link w:val="102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6">
    <w:name w:val="Quote"/>
    <w:basedOn w:val="783"/>
    <w:next w:val="783"/>
    <w:link w:val="99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97" w:customStyle="1">
    <w:name w:val="Цитата 2 Знак"/>
    <w:link w:val="996"/>
    <w:uiPriority w:val="29"/>
    <w:rPr>
      <w:rFonts w:ascii="Calibri" w:hAnsi="Calibri" w:eastAsia="Calibri"/>
      <w:i/>
      <w:iCs/>
      <w:color w:val="000000"/>
    </w:rPr>
  </w:style>
  <w:style w:type="paragraph" w:styleId="998">
    <w:name w:val="Intense Quote"/>
    <w:basedOn w:val="783"/>
    <w:next w:val="783"/>
    <w:link w:val="99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99" w:customStyle="1">
    <w:name w:val="Выделенная цитата Знак"/>
    <w:link w:val="99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0">
    <w:name w:val="Subtle Emphasis"/>
    <w:uiPriority w:val="19"/>
    <w:qFormat/>
    <w:rPr>
      <w:i/>
      <w:iCs/>
      <w:color w:val="808080"/>
    </w:rPr>
  </w:style>
  <w:style w:type="character" w:styleId="1001">
    <w:name w:val="Intense Emphasis"/>
    <w:uiPriority w:val="21"/>
    <w:qFormat/>
    <w:rPr>
      <w:b/>
      <w:bCs/>
      <w:i/>
      <w:iCs/>
      <w:color w:val="4f81bd"/>
    </w:rPr>
  </w:style>
  <w:style w:type="character" w:styleId="1002">
    <w:name w:val="Subtle Reference"/>
    <w:uiPriority w:val="31"/>
    <w:qFormat/>
    <w:rPr>
      <w:smallCaps/>
      <w:color w:val="c0504d"/>
      <w:u w:val="single"/>
    </w:rPr>
  </w:style>
  <w:style w:type="character" w:styleId="100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4">
    <w:name w:val="Book Title"/>
    <w:uiPriority w:val="33"/>
    <w:qFormat/>
    <w:rPr>
      <w:b/>
      <w:bCs/>
      <w:smallCaps/>
      <w:spacing w:val="5"/>
    </w:rPr>
  </w:style>
  <w:style w:type="paragraph" w:styleId="1005">
    <w:name w:val="TOC Heading"/>
    <w:basedOn w:val="784"/>
    <w:next w:val="78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6">
    <w:name w:val="E-mail Signature"/>
    <w:basedOn w:val="783"/>
    <w:link w:val="1007"/>
    <w:uiPriority w:val="99"/>
    <w:unhideWhenUsed/>
    <w:rPr>
      <w:rFonts w:eastAsia="Calibri"/>
      <w:sz w:val="24"/>
      <w:szCs w:val="24"/>
    </w:rPr>
  </w:style>
  <w:style w:type="character" w:styleId="1007" w:customStyle="1">
    <w:name w:val="Электронная подпись Знак"/>
    <w:link w:val="1006"/>
    <w:uiPriority w:val="99"/>
    <w:rPr>
      <w:rFonts w:eastAsia="Calibri"/>
      <w:sz w:val="24"/>
      <w:szCs w:val="24"/>
    </w:rPr>
  </w:style>
  <w:style w:type="paragraph" w:styleId="1008" w:customStyle="1">
    <w:name w:val="Знак"/>
    <w:basedOn w:val="7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Нумерованный список ур3"/>
    <w:basedOn w:val="78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0" w:customStyle="1">
    <w:name w:val="Нумерованный список 1"/>
    <w:basedOn w:val="78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1" w:customStyle="1">
    <w:name w:val="Нумерованный список ур2"/>
    <w:basedOn w:val="78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2">
    <w:name w:val="Revision"/>
    <w:hidden/>
    <w:uiPriority w:val="99"/>
    <w:semiHidden/>
    <w:rPr>
      <w:rFonts w:eastAsia="Calibri"/>
      <w:sz w:val="24"/>
      <w:szCs w:val="24"/>
    </w:rPr>
  </w:style>
  <w:style w:type="paragraph" w:styleId="101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4" w:customStyle="1">
    <w:name w:val="Знак Знак3 Знак Знак"/>
    <w:basedOn w:val="78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5" w:customStyle="1">
    <w:name w:val="Пункт"/>
    <w:basedOn w:val="78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6" w:customStyle="1">
    <w:name w:val="Подпункт Знак1"/>
    <w:link w:val="960"/>
    <w:rPr>
      <w:sz w:val="28"/>
    </w:rPr>
  </w:style>
  <w:style w:type="paragraph" w:styleId="1017" w:customStyle="1">
    <w:name w:val="Абзац списка1"/>
    <w:basedOn w:val="78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8" w:customStyle="1">
    <w:name w:val="Текст сноски Знак"/>
    <w:link w:val="944"/>
    <w:uiPriority w:val="99"/>
  </w:style>
  <w:style w:type="numbering" w:styleId="1019" w:customStyle="1">
    <w:name w:val="Стиль1"/>
    <w:uiPriority w:val="99"/>
    <w:pPr>
      <w:numPr>
        <w:ilvl w:val="0"/>
        <w:numId w:val="3"/>
      </w:numPr>
    </w:pPr>
  </w:style>
  <w:style w:type="paragraph" w:styleId="1020" w:customStyle="1">
    <w:name w:val="Таблица"/>
    <w:basedOn w:val="78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1" w:customStyle="1">
    <w:name w:val="Основной текст Знак"/>
    <w:link w:val="954"/>
    <w:rPr>
      <w:sz w:val="28"/>
      <w:szCs w:val="28"/>
    </w:rPr>
  </w:style>
  <w:style w:type="character" w:styleId="1022" w:customStyle="1">
    <w:name w:val="blk"/>
  </w:style>
  <w:style w:type="numbering" w:styleId="1023" w:customStyle="1">
    <w:name w:val="Стиль2"/>
    <w:uiPriority w:val="99"/>
    <w:pPr>
      <w:numPr>
        <w:ilvl w:val="0"/>
        <w:numId w:val="5"/>
      </w:numPr>
    </w:pPr>
  </w:style>
  <w:style w:type="paragraph" w:styleId="1024" w:customStyle="1">
    <w:name w:val="Таблица шапка"/>
    <w:basedOn w:val="783"/>
    <w:pPr>
      <w:ind w:left="57" w:right="57"/>
      <w:keepNext/>
      <w:spacing w:before="40" w:after="40"/>
    </w:pPr>
    <w:rPr>
      <w:sz w:val="22"/>
      <w:szCs w:val="26"/>
    </w:rPr>
  </w:style>
  <w:style w:type="character" w:styleId="1025" w:customStyle="1">
    <w:name w:val="Абзац списка Знак"/>
    <w:link w:val="995"/>
    <w:uiPriority w:val="34"/>
    <w:rPr>
      <w:rFonts w:eastAsia="Calibri"/>
      <w:sz w:val="24"/>
      <w:szCs w:val="24"/>
    </w:rPr>
  </w:style>
  <w:style w:type="character" w:styleId="1026" w:customStyle="1">
    <w:name w:val="комментарий"/>
    <w:rPr>
      <w:b/>
      <w:i/>
      <w:shd w:val="clear" w:color="auto" w:fill="ffff99"/>
    </w:rPr>
  </w:style>
  <w:style w:type="paragraph" w:styleId="1027" w:customStyle="1">
    <w:name w:val="Подподпункт"/>
    <w:basedOn w:val="960"/>
    <w:link w:val="102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28" w:customStyle="1">
    <w:name w:val="Подподпункт Знак"/>
    <w:link w:val="1027"/>
    <w:rPr>
      <w:sz w:val="26"/>
      <w:szCs w:val="26"/>
    </w:rPr>
  </w:style>
  <w:style w:type="paragraph" w:styleId="1029" w:customStyle="1">
    <w:name w:val="УРОВЕНЬ_(а)"/>
    <w:basedOn w:val="99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0" w:customStyle="1">
    <w:name w:val="УРОВЕНЬ_-"/>
    <w:basedOn w:val="99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1" w:customStyle="1">
    <w:name w:val="УРОВЕНЬ_Абзац_тип2"/>
    <w:basedOn w:val="99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2" w:customStyle="1">
    <w:name w:val="УРОВЕНЬ_Абзац_тип3"/>
    <w:basedOn w:val="995"/>
    <w:link w:val="103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3" w:customStyle="1">
    <w:name w:val="УРОВЕНЬ_Подпись"/>
    <w:basedOn w:val="99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4" w:customStyle="1">
    <w:name w:val="УРОВЕНЬ_Абзац_тип3 Знак"/>
    <w:link w:val="1032"/>
    <w:rPr>
      <w:rFonts w:eastAsia="Calibri"/>
      <w:sz w:val="26"/>
      <w:szCs w:val="28"/>
      <w:lang w:eastAsia="en-US"/>
    </w:rPr>
  </w:style>
  <w:style w:type="character" w:styleId="1035" w:customStyle="1">
    <w:name w:val="Верхний колонтитул Знак"/>
    <w:link w:val="950"/>
    <w:uiPriority w:val="99"/>
    <w:rPr>
      <w:sz w:val="24"/>
      <w:szCs w:val="24"/>
    </w:rPr>
  </w:style>
  <w:style w:type="character" w:styleId="1036" w:customStyle="1">
    <w:name w:val="Текст примечания Знак"/>
    <w:link w:val="971"/>
    <w:semiHidden/>
  </w:style>
  <w:style w:type="paragraph" w:styleId="1037" w:customStyle="1">
    <w:name w:val="Стиль Заголовок 1 + по ширине"/>
    <w:basedOn w:val="78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38">
    <w:name w:val="endnote text"/>
    <w:basedOn w:val="783"/>
    <w:link w:val="1039"/>
    <w:rPr>
      <w:sz w:val="20"/>
      <w:szCs w:val="20"/>
    </w:rPr>
  </w:style>
  <w:style w:type="character" w:styleId="1039" w:customStyle="1">
    <w:name w:val="Текст концевой сноски Знак"/>
    <w:basedOn w:val="793"/>
    <w:link w:val="1038"/>
  </w:style>
  <w:style w:type="character" w:styleId="1040">
    <w:name w:val="endnote reference"/>
    <w:basedOn w:val="793"/>
    <w:rPr>
      <w:vertAlign w:val="superscript"/>
    </w:rPr>
  </w:style>
  <w:style w:type="paragraph" w:styleId="1041" w:customStyle="1">
    <w:name w:val="Заголовок 2 КВВ"/>
    <w:basedOn w:val="78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2" w:customStyle="1">
    <w:name w:val="Пункт2 Знак"/>
    <w:link w:val="961"/>
    <w:rPr>
      <w:b/>
      <w:sz w:val="28"/>
    </w:rPr>
  </w:style>
  <w:style w:type="paragraph" w:styleId="1043" w:customStyle="1">
    <w:name w:val="Таблица текст"/>
    <w:basedOn w:val="783"/>
    <w:pPr>
      <w:ind w:left="57" w:right="57"/>
      <w:spacing w:before="40" w:after="40"/>
    </w:pPr>
    <w:rPr>
      <w:sz w:val="24"/>
      <w:szCs w:val="26"/>
    </w:rPr>
  </w:style>
  <w:style w:type="paragraph" w:styleId="1044">
    <w:name w:val="Normal (Web)"/>
    <w:basedOn w:val="78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5" w:customStyle="1">
    <w:name w:val="УРОВЕНЬ_1."/>
    <w:basedOn w:val="995"/>
    <w:link w:val="104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6" w:customStyle="1">
    <w:name w:val="УРОВЕНЬ_1. Знак"/>
    <w:link w:val="1045"/>
    <w:rPr>
      <w:rFonts w:eastAsia="Calibri"/>
      <w:caps/>
      <w:sz w:val="28"/>
      <w:szCs w:val="28"/>
      <w:lang w:eastAsia="en-US"/>
    </w:rPr>
  </w:style>
  <w:style w:type="table" w:styleId="1047" w:customStyle="1">
    <w:name w:val="Сетка таблицы1"/>
    <w:basedOn w:val="794"/>
    <w:next w:val="95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8">
    <w:name w:val="toc 6"/>
    <w:basedOn w:val="783"/>
    <w:next w:val="78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49">
    <w:name w:val="toc 7"/>
    <w:basedOn w:val="783"/>
    <w:next w:val="78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0">
    <w:name w:val="toc 8"/>
    <w:basedOn w:val="783"/>
    <w:next w:val="78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1" w:customStyle="1">
    <w:name w:val="Неразрешенное упоминание1"/>
    <w:basedOn w:val="793"/>
    <w:uiPriority w:val="99"/>
    <w:semiHidden/>
    <w:unhideWhenUsed/>
    <w:rPr>
      <w:color w:val="605e5c"/>
      <w:shd w:val="clear" w:color="auto" w:fill="e1dfdd"/>
    </w:rPr>
  </w:style>
  <w:style w:type="character" w:styleId="1052" w:customStyle="1">
    <w:name w:val="Основной текст с отступом 3 Знак"/>
    <w:link w:val="957"/>
    <w:rPr>
      <w:sz w:val="16"/>
      <w:szCs w:val="16"/>
    </w:rPr>
  </w:style>
  <w:style w:type="table" w:styleId="1053" w:customStyle="1">
    <w:name w:val="Сетка таблицы2"/>
    <w:basedOn w:val="794"/>
    <w:next w:val="95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ED6A2-20CD-40F1-B21F-B5D8A936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lescheva_ee</cp:lastModifiedBy>
  <cp:revision>153</cp:revision>
  <dcterms:created xsi:type="dcterms:W3CDTF">2023-04-19T01:27:00Z</dcterms:created>
  <dcterms:modified xsi:type="dcterms:W3CDTF">2025-08-08T06:48:56Z</dcterms:modified>
</cp:coreProperties>
</file>